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86" w:lineRule="exact"/>
        <w:ind w:left="0"/>
        <w:textAlignment w:val="baseline"/>
        <w:rPr>
          <w:rFonts w:hint="eastAsia" w:ascii="黑体" w:hAnsi="黑体" w:eastAsia="黑体" w:cs="黑体"/>
          <w:b w:val="0"/>
          <w:bCs w:val="0"/>
          <w:sz w:val="32"/>
          <w:szCs w:val="32"/>
          <w:lang w:eastAsia="zh-CN"/>
        </w:rPr>
      </w:pPr>
      <w:r>
        <w:rPr>
          <w:rFonts w:ascii="黑体" w:hAnsi="黑体" w:eastAsia="黑体" w:cs="黑体"/>
          <w:b w:val="0"/>
          <w:bCs w:val="0"/>
          <w:spacing w:val="14"/>
          <w:sz w:val="32"/>
          <w:szCs w:val="32"/>
        </w:rPr>
        <w:t>附件</w:t>
      </w:r>
      <w:r>
        <w:rPr>
          <w:rFonts w:hint="eastAsia" w:ascii="黑体" w:hAnsi="黑体" w:eastAsia="黑体" w:cs="黑体"/>
          <w:b w:val="0"/>
          <w:bCs w:val="0"/>
          <w:spacing w:val="14"/>
          <w:sz w:val="32"/>
          <w:szCs w:val="32"/>
          <w:lang w:val="en-US" w:eastAsia="zh-CN"/>
        </w:rPr>
        <w:t>2</w:t>
      </w: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pacing w:val="24"/>
          <w:sz w:val="44"/>
          <w:szCs w:val="44"/>
        </w:rPr>
        <w:t>行政执法事项目录清单</w:t>
      </w:r>
    </w:p>
    <w:p>
      <w:pPr>
        <w:spacing w:line="195" w:lineRule="exact"/>
      </w:pPr>
    </w:p>
    <w:p>
      <w:pPr>
        <w:spacing w:line="195" w:lineRule="exact"/>
        <w:sectPr>
          <w:footerReference r:id="rId5" w:type="default"/>
          <w:pgSz w:w="16820" w:h="11900"/>
          <w:pgMar w:top="726" w:right="811" w:bottom="400" w:left="646" w:header="0" w:footer="0" w:gutter="0"/>
          <w:pgNumType w:fmt="decimal"/>
          <w:cols w:equalWidth="0" w:num="1">
            <w:col w:w="14685"/>
          </w:cols>
        </w:sectPr>
      </w:pPr>
    </w:p>
    <w:p>
      <w:pPr>
        <w:spacing w:before="69" w:line="184" w:lineRule="auto"/>
        <w:ind w:left="159"/>
        <w:rPr>
          <w:rFonts w:ascii="宋体" w:hAnsi="宋体" w:eastAsia="宋体" w:cs="宋体"/>
          <w:sz w:val="31"/>
          <w:szCs w:val="31"/>
        </w:rPr>
      </w:pPr>
      <w:r>
        <w:rPr>
          <w:rFonts w:ascii="宋体" w:hAnsi="宋体" w:eastAsia="宋体" w:cs="宋体"/>
          <w:spacing w:val="6"/>
          <w:sz w:val="31"/>
          <w:szCs w:val="31"/>
        </w:rPr>
        <w:t>填报单位(盖章):</w:t>
      </w:r>
    </w:p>
    <w:p>
      <w:pPr>
        <w:spacing w:line="14" w:lineRule="auto"/>
        <w:rPr>
          <w:rFonts w:ascii="Arial"/>
          <w:sz w:val="2"/>
        </w:rPr>
      </w:pPr>
      <w:r>
        <w:rPr>
          <w:rFonts w:ascii="Arial" w:hAnsi="Arial" w:eastAsia="Arial" w:cs="Arial"/>
          <w:sz w:val="2"/>
          <w:szCs w:val="2"/>
        </w:rPr>
        <w:br w:type="column"/>
      </w:r>
    </w:p>
    <w:p>
      <w:pPr>
        <w:spacing w:before="61" w:line="188" w:lineRule="auto"/>
        <w:rPr>
          <w:rFonts w:hint="default" w:ascii="宋体" w:hAnsi="宋体" w:eastAsia="宋体" w:cs="宋体"/>
          <w:sz w:val="31"/>
          <w:szCs w:val="31"/>
          <w:lang w:val="en-US" w:eastAsia="zh-CN"/>
        </w:rPr>
      </w:pPr>
      <w:r>
        <w:rPr>
          <w:rFonts w:ascii="宋体" w:hAnsi="宋体" w:eastAsia="宋体" w:cs="宋体"/>
          <w:spacing w:val="-1"/>
          <w:sz w:val="31"/>
          <w:szCs w:val="31"/>
        </w:rPr>
        <w:t>联系人和联系方式：</w:t>
      </w:r>
    </w:p>
    <w:p>
      <w:pPr>
        <w:spacing w:line="188" w:lineRule="auto"/>
        <w:rPr>
          <w:rFonts w:ascii="宋体" w:hAnsi="宋体" w:eastAsia="宋体" w:cs="宋体"/>
          <w:sz w:val="31"/>
          <w:szCs w:val="31"/>
        </w:rPr>
        <w:sectPr>
          <w:type w:val="continuous"/>
          <w:pgSz w:w="16820" w:h="11900"/>
          <w:pgMar w:top="1011" w:right="1205" w:bottom="400" w:left="929" w:header="0" w:footer="0" w:gutter="0"/>
          <w:pgNumType w:fmt="decimal"/>
          <w:cols w:equalWidth="0" w:num="2">
            <w:col w:w="9640" w:space="100"/>
            <w:col w:w="4946"/>
          </w:cols>
        </w:sectPr>
      </w:pPr>
    </w:p>
    <w:p>
      <w:pPr>
        <w:spacing w:line="92" w:lineRule="auto"/>
        <w:rPr>
          <w:rFonts w:ascii="Arial"/>
          <w:sz w:val="2"/>
        </w:rPr>
      </w:pPr>
    </w:p>
    <w:tbl>
      <w:tblPr>
        <w:tblStyle w:val="9"/>
        <w:tblW w:w="1529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3"/>
        <w:gridCol w:w="2596"/>
        <w:gridCol w:w="1003"/>
        <w:gridCol w:w="7250"/>
        <w:gridCol w:w="1716"/>
        <w:gridCol w:w="1766"/>
        <w:gridCol w:w="5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53" w:type="dxa"/>
            <w:vAlign w:val="center"/>
          </w:tcPr>
          <w:p>
            <w:pPr>
              <w:spacing w:before="101" w:line="221" w:lineRule="auto"/>
              <w:jc w:val="center"/>
              <w:rPr>
                <w:rFonts w:ascii="宋体" w:hAnsi="宋体" w:eastAsia="宋体" w:cs="宋体"/>
                <w:sz w:val="24"/>
                <w:szCs w:val="24"/>
              </w:rPr>
            </w:pPr>
            <w:r>
              <w:rPr>
                <w:sz w:val="24"/>
                <w:szCs w:val="24"/>
              </w:rPr>
              <w:drawing>
                <wp:anchor distT="0" distB="0" distL="0" distR="0" simplePos="0" relativeHeight="251659264" behindDoc="1" locked="0" layoutInCell="1" allowOverlap="1">
                  <wp:simplePos x="0" y="0"/>
                  <wp:positionH relativeFrom="column">
                    <wp:posOffset>-6350</wp:posOffset>
                  </wp:positionH>
                  <wp:positionV relativeFrom="paragraph">
                    <wp:posOffset>-183515</wp:posOffset>
                  </wp:positionV>
                  <wp:extent cx="1638300" cy="1657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7"/>
                          <a:stretch>
                            <a:fillRect/>
                          </a:stretch>
                        </pic:blipFill>
                        <pic:spPr>
                          <a:xfrm>
                            <a:off x="0" y="0"/>
                            <a:ext cx="1638312" cy="1657367"/>
                          </a:xfrm>
                          <a:prstGeom prst="rect">
                            <a:avLst/>
                          </a:prstGeom>
                        </pic:spPr>
                      </pic:pic>
                    </a:graphicData>
                  </a:graphic>
                </wp:anchor>
              </w:drawing>
            </w:r>
            <w:r>
              <w:rPr>
                <w:rFonts w:ascii="宋体" w:hAnsi="宋体" w:eastAsia="宋体" w:cs="宋体"/>
                <w:b/>
                <w:bCs/>
                <w:spacing w:val="1"/>
                <w:sz w:val="24"/>
                <w:szCs w:val="24"/>
              </w:rPr>
              <w:t>序号</w:t>
            </w:r>
          </w:p>
        </w:tc>
        <w:tc>
          <w:tcPr>
            <w:tcW w:w="2596" w:type="dxa"/>
            <w:vAlign w:val="center"/>
          </w:tcPr>
          <w:p>
            <w:pPr>
              <w:spacing w:before="101" w:line="220" w:lineRule="auto"/>
              <w:jc w:val="center"/>
              <w:rPr>
                <w:rFonts w:ascii="宋体" w:hAnsi="宋体" w:eastAsia="宋体" w:cs="宋体"/>
                <w:sz w:val="24"/>
                <w:szCs w:val="24"/>
              </w:rPr>
            </w:pPr>
            <w:r>
              <w:rPr>
                <w:rFonts w:ascii="宋体" w:hAnsi="宋体" w:eastAsia="宋体" w:cs="宋体"/>
                <w:b/>
                <w:bCs/>
                <w:spacing w:val="-6"/>
                <w:sz w:val="24"/>
                <w:szCs w:val="24"/>
              </w:rPr>
              <w:t>事项名称</w:t>
            </w:r>
          </w:p>
        </w:tc>
        <w:tc>
          <w:tcPr>
            <w:tcW w:w="1003" w:type="dxa"/>
            <w:vAlign w:val="center"/>
          </w:tcPr>
          <w:p>
            <w:pPr>
              <w:spacing w:before="100" w:line="219" w:lineRule="auto"/>
              <w:jc w:val="center"/>
              <w:rPr>
                <w:rFonts w:ascii="宋体" w:hAnsi="宋体" w:eastAsia="宋体" w:cs="宋体"/>
                <w:sz w:val="24"/>
                <w:szCs w:val="24"/>
              </w:rPr>
            </w:pPr>
            <w:r>
              <w:rPr>
                <w:rFonts w:ascii="宋体" w:hAnsi="宋体" w:eastAsia="宋体" w:cs="宋体"/>
                <w:b/>
                <w:bCs/>
                <w:spacing w:val="-1"/>
                <w:sz w:val="24"/>
                <w:szCs w:val="24"/>
              </w:rPr>
              <w:t>事项类型</w:t>
            </w:r>
          </w:p>
        </w:tc>
        <w:tc>
          <w:tcPr>
            <w:tcW w:w="7250" w:type="dxa"/>
            <w:vAlign w:val="center"/>
          </w:tcPr>
          <w:p>
            <w:pPr>
              <w:spacing w:before="101" w:line="219" w:lineRule="auto"/>
              <w:jc w:val="center"/>
              <w:rPr>
                <w:rFonts w:ascii="宋体" w:hAnsi="宋体" w:eastAsia="宋体" w:cs="宋体"/>
                <w:sz w:val="24"/>
                <w:szCs w:val="24"/>
              </w:rPr>
            </w:pPr>
            <w:r>
              <w:rPr>
                <w:rFonts w:ascii="宋体" w:hAnsi="宋体" w:eastAsia="宋体" w:cs="宋体"/>
                <w:b/>
                <w:bCs/>
                <w:spacing w:val="-1"/>
                <w:sz w:val="24"/>
                <w:szCs w:val="24"/>
              </w:rPr>
              <w:t>事项依据</w:t>
            </w:r>
          </w:p>
        </w:tc>
        <w:tc>
          <w:tcPr>
            <w:tcW w:w="1716" w:type="dxa"/>
            <w:vAlign w:val="center"/>
          </w:tcPr>
          <w:p>
            <w:pPr>
              <w:spacing w:before="100" w:line="219" w:lineRule="auto"/>
              <w:jc w:val="center"/>
              <w:rPr>
                <w:rFonts w:ascii="宋体" w:hAnsi="宋体" w:eastAsia="宋体" w:cs="宋体"/>
                <w:sz w:val="24"/>
                <w:szCs w:val="24"/>
              </w:rPr>
            </w:pPr>
            <w:r>
              <w:rPr>
                <w:rFonts w:ascii="宋体" w:hAnsi="宋体" w:eastAsia="宋体" w:cs="宋体"/>
                <w:b/>
                <w:bCs/>
                <w:spacing w:val="-3"/>
                <w:sz w:val="24"/>
                <w:szCs w:val="24"/>
              </w:rPr>
              <w:t>责任主体</w:t>
            </w:r>
          </w:p>
        </w:tc>
        <w:tc>
          <w:tcPr>
            <w:tcW w:w="1766" w:type="dxa"/>
            <w:vAlign w:val="center"/>
          </w:tcPr>
          <w:p>
            <w:pPr>
              <w:spacing w:before="101" w:line="220" w:lineRule="auto"/>
              <w:jc w:val="center"/>
              <w:rPr>
                <w:rFonts w:ascii="宋体" w:hAnsi="宋体" w:eastAsia="宋体" w:cs="宋体"/>
                <w:sz w:val="24"/>
                <w:szCs w:val="24"/>
              </w:rPr>
            </w:pPr>
            <w:r>
              <w:rPr>
                <w:rFonts w:ascii="宋体" w:hAnsi="宋体" w:eastAsia="宋体" w:cs="宋体"/>
                <w:b/>
                <w:bCs/>
                <w:spacing w:val="-3"/>
                <w:sz w:val="24"/>
                <w:szCs w:val="24"/>
              </w:rPr>
              <w:t>实施主体</w:t>
            </w:r>
          </w:p>
        </w:tc>
        <w:tc>
          <w:tcPr>
            <w:tcW w:w="507" w:type="dxa"/>
            <w:vAlign w:val="center"/>
          </w:tcPr>
          <w:p>
            <w:pPr>
              <w:spacing w:before="101" w:line="221" w:lineRule="auto"/>
              <w:jc w:val="center"/>
              <w:rPr>
                <w:rFonts w:ascii="宋体" w:hAnsi="宋体" w:eastAsia="宋体" w:cs="宋体"/>
                <w:sz w:val="24"/>
                <w:szCs w:val="24"/>
              </w:rPr>
            </w:pPr>
            <w:r>
              <w:rPr>
                <w:rFonts w:ascii="宋体" w:hAnsi="宋体" w:eastAsia="宋体" w:cs="宋体"/>
                <w:b/>
                <w:bCs/>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5" w:hRule="atLeast"/>
        </w:trPr>
        <w:tc>
          <w:tcPr>
            <w:tcW w:w="45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1" w:line="26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01</w:t>
            </w:r>
          </w:p>
        </w:tc>
        <w:tc>
          <w:tcPr>
            <w:tcW w:w="259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1" w:line="260" w:lineRule="exact"/>
              <w:jc w:val="both"/>
              <w:textAlignment w:val="baseline"/>
              <w:rPr>
                <w:rFonts w:hint="eastAsia" w:ascii="仿宋_GB2312" w:hAnsi="仿宋_GB2312" w:eastAsia="仿宋_GB2312" w:cs="仿宋_GB2312"/>
                <w:b/>
                <w:bCs/>
                <w:spacing w:val="-6"/>
                <w:sz w:val="20"/>
                <w:szCs w:val="20"/>
                <w:lang w:eastAsia="zh-CN"/>
              </w:rPr>
            </w:pPr>
            <w:r>
              <w:rPr>
                <w:rFonts w:hint="eastAsia" w:ascii="仿宋_GB2312" w:hAnsi="仿宋_GB2312" w:eastAsia="仿宋_GB2312" w:cs="仿宋_GB2312"/>
                <w:b w:val="0"/>
                <w:bCs w:val="0"/>
                <w:spacing w:val="-6"/>
                <w:sz w:val="20"/>
                <w:szCs w:val="20"/>
                <w:lang w:eastAsia="zh-CN"/>
              </w:rPr>
              <w:t>对单位和个人以欺诈、伪造证明材料或者其他手段骗取医疗保险待遇行为的处罚</w:t>
            </w:r>
          </w:p>
        </w:tc>
        <w:tc>
          <w:tcPr>
            <w:tcW w:w="100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line="260" w:lineRule="exact"/>
              <w:jc w:val="center"/>
              <w:textAlignment w:val="baseline"/>
              <w:rPr>
                <w:rFonts w:hint="eastAsia" w:ascii="仿宋_GB2312" w:hAnsi="仿宋_GB2312" w:eastAsia="仿宋_GB2312" w:cs="仿宋_GB2312"/>
                <w:b w:val="0"/>
                <w:bCs w:val="0"/>
                <w:spacing w:val="-1"/>
                <w:sz w:val="20"/>
                <w:szCs w:val="20"/>
              </w:rPr>
            </w:pPr>
            <w:r>
              <w:rPr>
                <w:rFonts w:hint="eastAsia" w:ascii="仿宋_GB2312" w:hAnsi="仿宋_GB2312" w:eastAsia="仿宋_GB2312" w:cs="仿宋_GB2312"/>
                <w:b w:val="0"/>
                <w:bCs w:val="0"/>
                <w:spacing w:val="-1"/>
                <w:sz w:val="20"/>
                <w:szCs w:val="20"/>
              </w:rPr>
              <w:t>行政处罚</w:t>
            </w:r>
          </w:p>
        </w:tc>
        <w:tc>
          <w:tcPr>
            <w:tcW w:w="7250" w:type="dxa"/>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ind w:firstLine="396" w:firstLineChars="200"/>
              <w:jc w:val="both"/>
              <w:textAlignment w:val="baseline"/>
              <w:rPr>
                <w:rFonts w:hint="eastAsia" w:ascii="仿宋_GB2312" w:hAnsi="仿宋_GB2312" w:eastAsia="仿宋_GB2312" w:cs="仿宋_GB2312"/>
                <w:b w:val="0"/>
                <w:bCs w:val="0"/>
                <w:spacing w:val="-1"/>
                <w:sz w:val="20"/>
                <w:szCs w:val="20"/>
              </w:rPr>
            </w:pPr>
            <w:r>
              <w:rPr>
                <w:rFonts w:hint="eastAsia" w:ascii="仿宋_GB2312" w:hAnsi="仿宋_GB2312" w:eastAsia="仿宋_GB2312" w:cs="仿宋_GB2312"/>
                <w:b w:val="0"/>
                <w:bCs w:val="0"/>
                <w:spacing w:val="-1"/>
                <w:sz w:val="20"/>
                <w:szCs w:val="20"/>
              </w:rPr>
              <w:t>【法律】《中华人民共和国社会保险法》（2010年10月28日第十一届全国人民代表大会常务委员会第十七次会议通过 根据2018年12月29日第十三届全国人民代表大会常务委员会第七次会议《关于修改〈中华人民共和国社会保险法〉的决定》修正）</w:t>
            </w:r>
          </w:p>
          <w:p>
            <w:pPr>
              <w:keepNext w:val="0"/>
              <w:keepLines w:val="0"/>
              <w:pageBreakBefore w:val="0"/>
              <w:widowControl/>
              <w:kinsoku w:val="0"/>
              <w:wordWrap/>
              <w:overflowPunct/>
              <w:topLinePunct w:val="0"/>
              <w:autoSpaceDE w:val="0"/>
              <w:autoSpaceDN w:val="0"/>
              <w:bidi w:val="0"/>
              <w:adjustRightInd w:val="0"/>
              <w:snapToGrid w:val="0"/>
              <w:spacing w:line="300" w:lineRule="exact"/>
              <w:ind w:firstLine="396" w:firstLineChars="200"/>
              <w:jc w:val="both"/>
              <w:textAlignment w:val="baseline"/>
              <w:rPr>
                <w:rFonts w:hint="eastAsia" w:ascii="仿宋_GB2312" w:hAnsi="仿宋_GB2312" w:eastAsia="仿宋_GB2312" w:cs="仿宋_GB2312"/>
                <w:b w:val="0"/>
                <w:bCs w:val="0"/>
                <w:spacing w:val="-1"/>
                <w:sz w:val="20"/>
                <w:szCs w:val="20"/>
                <w:lang w:eastAsia="zh-CN"/>
              </w:rPr>
            </w:pPr>
            <w:r>
              <w:rPr>
                <w:rFonts w:hint="eastAsia" w:ascii="仿宋_GB2312" w:hAnsi="仿宋_GB2312" w:eastAsia="仿宋_GB2312" w:cs="仿宋_GB2312"/>
                <w:b w:val="0"/>
                <w:bCs w:val="0"/>
                <w:color w:val="000000" w:themeColor="text1"/>
                <w:spacing w:val="-1"/>
                <w:sz w:val="20"/>
                <w:szCs w:val="20"/>
                <w14:textFill>
                  <w14:solidFill>
                    <w14:schemeClr w14:val="tx1"/>
                  </w14:solidFill>
                </w14:textFill>
              </w:rPr>
              <w:t>第八十八条</w:t>
            </w:r>
            <w:r>
              <w:rPr>
                <w:rFonts w:hint="eastAsia" w:ascii="仿宋_GB2312" w:hAnsi="仿宋_GB2312" w:eastAsia="仿宋_GB2312" w:cs="仿宋_GB2312"/>
                <w:b w:val="0"/>
                <w:bCs w:val="0"/>
                <w:color w:val="000000" w:themeColor="text1"/>
                <w:spacing w:val="-1"/>
                <w:sz w:val="20"/>
                <w:szCs w:val="20"/>
                <w:lang w:val="en-US" w:eastAsia="zh-CN"/>
                <w14:textFill>
                  <w14:solidFill>
                    <w14:schemeClr w14:val="tx1"/>
                  </w14:solidFill>
                </w14:textFill>
              </w:rPr>
              <w:t xml:space="preserve"> </w:t>
            </w:r>
            <w:r>
              <w:rPr>
                <w:rFonts w:hint="eastAsia" w:ascii="仿宋_GB2312" w:hAnsi="仿宋_GB2312" w:eastAsia="仿宋_GB2312" w:cs="仿宋_GB2312"/>
                <w:b w:val="0"/>
                <w:bCs w:val="0"/>
                <w:spacing w:val="-1"/>
                <w:sz w:val="20"/>
                <w:szCs w:val="20"/>
              </w:rPr>
              <w:t>以欺诈、伪造证明材料或者其他手段骗取社会保险待遇的，由社会保险行政部门责令退回骗取的社会保险金，处骗取金额二倍以上五倍以下的罚款</w:t>
            </w: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60" w:lineRule="exact"/>
              <w:jc w:val="both"/>
              <w:textAlignment w:val="baseline"/>
              <w:rPr>
                <w:rFonts w:hint="eastAsia" w:ascii="仿宋_GB2312" w:hAnsi="仿宋_GB2312" w:eastAsia="仿宋_GB2312" w:cs="仿宋_GB2312"/>
                <w:b w:val="0"/>
                <w:bCs w:val="0"/>
                <w:spacing w:val="-3"/>
                <w:sz w:val="20"/>
                <w:szCs w:val="20"/>
              </w:rPr>
            </w:pPr>
            <w:r>
              <w:rPr>
                <w:rFonts w:hint="eastAsia" w:ascii="仿宋_GB2312" w:hAnsi="仿宋_GB2312" w:eastAsia="仿宋_GB2312" w:cs="仿宋_GB2312"/>
                <w:sz w:val="20"/>
                <w:szCs w:val="20"/>
                <w:lang w:eastAsia="zh-CN"/>
              </w:rPr>
              <w:t>陵川县医疗保障局</w:t>
            </w:r>
          </w:p>
        </w:tc>
        <w:tc>
          <w:tcPr>
            <w:tcW w:w="17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医药服务和</w:t>
            </w:r>
          </w:p>
          <w:p>
            <w:pPr>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待遇保障股</w:t>
            </w:r>
          </w:p>
        </w:tc>
        <w:tc>
          <w:tcPr>
            <w:tcW w:w="507" w:type="dxa"/>
            <w:vAlign w:val="top"/>
          </w:tcPr>
          <w:p>
            <w:pPr>
              <w:keepNext w:val="0"/>
              <w:keepLines w:val="0"/>
              <w:pageBreakBefore w:val="0"/>
              <w:widowControl/>
              <w:kinsoku w:val="0"/>
              <w:wordWrap/>
              <w:overflowPunct/>
              <w:topLinePunct w:val="0"/>
              <w:autoSpaceDE w:val="0"/>
              <w:autoSpaceDN w:val="0"/>
              <w:bidi w:val="0"/>
              <w:adjustRightInd w:val="0"/>
              <w:snapToGrid w:val="0"/>
              <w:spacing w:before="101" w:line="260" w:lineRule="exact"/>
              <w:ind w:left="244"/>
              <w:textAlignment w:val="baseline"/>
              <w:rPr>
                <w:rFonts w:hint="eastAsia" w:ascii="仿宋_GB2312" w:hAnsi="仿宋_GB2312" w:eastAsia="仿宋_GB2312" w:cs="仿宋_GB2312"/>
                <w:b w:val="0"/>
                <w:bCs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0" w:hRule="atLeast"/>
        </w:trPr>
        <w:tc>
          <w:tcPr>
            <w:tcW w:w="45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1" w:line="26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02</w:t>
            </w:r>
          </w:p>
        </w:tc>
        <w:tc>
          <w:tcPr>
            <w:tcW w:w="259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1" w:line="260" w:lineRule="exact"/>
              <w:jc w:val="both"/>
              <w:textAlignment w:val="baseline"/>
              <w:rPr>
                <w:rFonts w:hint="eastAsia" w:ascii="仿宋_GB2312" w:hAnsi="仿宋_GB2312" w:eastAsia="仿宋_GB2312" w:cs="仿宋_GB2312"/>
                <w:b w:val="0"/>
                <w:bCs w:val="0"/>
                <w:spacing w:val="-6"/>
                <w:sz w:val="20"/>
                <w:szCs w:val="20"/>
                <w:lang w:eastAsia="zh-CN"/>
              </w:rPr>
            </w:pPr>
            <w:r>
              <w:rPr>
                <w:rFonts w:hint="eastAsia" w:ascii="仿宋_GB2312" w:hAnsi="仿宋_GB2312" w:eastAsia="仿宋_GB2312" w:cs="仿宋_GB2312"/>
                <w:b w:val="0"/>
                <w:bCs w:val="0"/>
                <w:spacing w:val="-6"/>
                <w:sz w:val="20"/>
                <w:szCs w:val="20"/>
              </w:rPr>
              <w:t>对社会保险经办机构以及医疗机构、药品经营单位等社会保险服务机构以欺诈、伪造证明材料或者其他手段骗取医疗保险基金支出的行为的处罚</w:t>
            </w:r>
            <w:r>
              <w:rPr>
                <w:rFonts w:hint="eastAsia" w:ascii="仿宋_GB2312" w:hAnsi="仿宋_GB2312" w:eastAsia="仿宋_GB2312" w:cs="仿宋_GB2312"/>
                <w:b w:val="0"/>
                <w:bCs w:val="0"/>
                <w:spacing w:val="-6"/>
                <w:sz w:val="20"/>
                <w:szCs w:val="20"/>
                <w:lang w:eastAsia="zh-CN"/>
              </w:rPr>
              <w:t>。</w:t>
            </w:r>
          </w:p>
        </w:tc>
        <w:tc>
          <w:tcPr>
            <w:tcW w:w="1003" w:type="dxa"/>
            <w:vAlign w:val="top"/>
          </w:tcPr>
          <w:p>
            <w:pPr>
              <w:keepNext w:val="0"/>
              <w:keepLines w:val="0"/>
              <w:pageBreakBefore w:val="0"/>
              <w:widowControl/>
              <w:kinsoku w:val="0"/>
              <w:wordWrap/>
              <w:overflowPunct/>
              <w:topLinePunct w:val="0"/>
              <w:autoSpaceDE w:val="0"/>
              <w:autoSpaceDN w:val="0"/>
              <w:bidi w:val="0"/>
              <w:adjustRightInd w:val="0"/>
              <w:snapToGrid w:val="0"/>
              <w:spacing w:before="100" w:line="260" w:lineRule="exact"/>
              <w:ind w:left="257"/>
              <w:jc w:val="center"/>
              <w:textAlignment w:val="baseline"/>
              <w:rPr>
                <w:rFonts w:hint="eastAsia" w:ascii="仿宋_GB2312" w:hAnsi="仿宋_GB2312" w:eastAsia="仿宋_GB2312" w:cs="仿宋_GB2312"/>
                <w:b w:val="0"/>
                <w:bCs w:val="0"/>
                <w:spacing w:val="-1"/>
                <w:sz w:val="20"/>
                <w:szCs w:val="20"/>
              </w:rPr>
            </w:pPr>
          </w:p>
          <w:p>
            <w:pPr>
              <w:keepNext w:val="0"/>
              <w:keepLines w:val="0"/>
              <w:pageBreakBefore w:val="0"/>
              <w:widowControl/>
              <w:kinsoku w:val="0"/>
              <w:wordWrap/>
              <w:overflowPunct/>
              <w:topLinePunct w:val="0"/>
              <w:autoSpaceDE w:val="0"/>
              <w:autoSpaceDN w:val="0"/>
              <w:bidi w:val="0"/>
              <w:adjustRightInd w:val="0"/>
              <w:snapToGrid w:val="0"/>
              <w:spacing w:before="100" w:line="260" w:lineRule="exact"/>
              <w:ind w:left="257"/>
              <w:jc w:val="center"/>
              <w:textAlignment w:val="baseline"/>
              <w:rPr>
                <w:rFonts w:hint="eastAsia" w:ascii="仿宋_GB2312" w:hAnsi="仿宋_GB2312" w:eastAsia="仿宋_GB2312" w:cs="仿宋_GB2312"/>
                <w:b w:val="0"/>
                <w:bCs w:val="0"/>
                <w:spacing w:val="-1"/>
                <w:sz w:val="20"/>
                <w:szCs w:val="20"/>
              </w:rPr>
            </w:pPr>
          </w:p>
          <w:p>
            <w:pPr>
              <w:keepNext w:val="0"/>
              <w:keepLines w:val="0"/>
              <w:pageBreakBefore w:val="0"/>
              <w:widowControl/>
              <w:kinsoku w:val="0"/>
              <w:wordWrap/>
              <w:overflowPunct/>
              <w:topLinePunct w:val="0"/>
              <w:autoSpaceDE w:val="0"/>
              <w:autoSpaceDN w:val="0"/>
              <w:bidi w:val="0"/>
              <w:adjustRightInd w:val="0"/>
              <w:snapToGrid w:val="0"/>
              <w:spacing w:before="100" w:line="260" w:lineRule="exact"/>
              <w:ind w:left="257"/>
              <w:jc w:val="center"/>
              <w:textAlignment w:val="baseline"/>
              <w:rPr>
                <w:rFonts w:hint="eastAsia" w:ascii="仿宋_GB2312" w:hAnsi="仿宋_GB2312" w:eastAsia="仿宋_GB2312" w:cs="仿宋_GB2312"/>
                <w:b w:val="0"/>
                <w:bCs w:val="0"/>
                <w:spacing w:val="-1"/>
                <w:sz w:val="20"/>
                <w:szCs w:val="20"/>
              </w:rPr>
            </w:pPr>
          </w:p>
          <w:p>
            <w:pPr>
              <w:keepNext w:val="0"/>
              <w:keepLines w:val="0"/>
              <w:pageBreakBefore w:val="0"/>
              <w:widowControl/>
              <w:kinsoku w:val="0"/>
              <w:wordWrap/>
              <w:overflowPunct/>
              <w:topLinePunct w:val="0"/>
              <w:autoSpaceDE w:val="0"/>
              <w:autoSpaceDN w:val="0"/>
              <w:bidi w:val="0"/>
              <w:adjustRightInd w:val="0"/>
              <w:snapToGrid w:val="0"/>
              <w:spacing w:before="100" w:line="260" w:lineRule="exact"/>
              <w:jc w:val="center"/>
              <w:textAlignment w:val="baseline"/>
              <w:rPr>
                <w:rFonts w:hint="eastAsia" w:ascii="仿宋_GB2312" w:hAnsi="仿宋_GB2312" w:eastAsia="仿宋_GB2312" w:cs="仿宋_GB2312"/>
                <w:b w:val="0"/>
                <w:bCs w:val="0"/>
                <w:spacing w:val="-1"/>
                <w:sz w:val="20"/>
                <w:szCs w:val="20"/>
              </w:rPr>
            </w:pPr>
            <w:r>
              <w:rPr>
                <w:rFonts w:hint="eastAsia" w:ascii="仿宋_GB2312" w:hAnsi="仿宋_GB2312" w:eastAsia="仿宋_GB2312" w:cs="仿宋_GB2312"/>
                <w:b w:val="0"/>
                <w:bCs w:val="0"/>
                <w:spacing w:val="-1"/>
                <w:sz w:val="20"/>
                <w:szCs w:val="20"/>
              </w:rPr>
              <w:t>行政处罚</w:t>
            </w:r>
          </w:p>
        </w:tc>
        <w:tc>
          <w:tcPr>
            <w:tcW w:w="7250" w:type="dxa"/>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ind w:firstLine="396" w:firstLineChars="200"/>
              <w:jc w:val="both"/>
              <w:textAlignment w:val="baseline"/>
              <w:rPr>
                <w:rFonts w:hint="eastAsia" w:ascii="仿宋_GB2312" w:hAnsi="仿宋_GB2312" w:eastAsia="仿宋_GB2312" w:cs="仿宋_GB2312"/>
                <w:b w:val="0"/>
                <w:bCs w:val="0"/>
                <w:spacing w:val="-1"/>
                <w:sz w:val="20"/>
                <w:szCs w:val="20"/>
              </w:rPr>
            </w:pPr>
            <w:r>
              <w:rPr>
                <w:rFonts w:hint="eastAsia" w:ascii="仿宋_GB2312" w:hAnsi="仿宋_GB2312" w:eastAsia="仿宋_GB2312" w:cs="仿宋_GB2312"/>
                <w:b w:val="0"/>
                <w:bCs w:val="0"/>
                <w:spacing w:val="-1"/>
                <w:sz w:val="20"/>
                <w:szCs w:val="20"/>
              </w:rPr>
              <w:t>【法律】《中华人民共和国社会保险法》（2010年10月28日第十一届全国人民代表大会常务委员会第十七次会议通过 根据2018年12月29日第十三届全国人民代表大会常务委员会第七次会议《关于修改〈中华人民共和国社会保险法〉的决定》修正）</w:t>
            </w:r>
          </w:p>
          <w:p>
            <w:pPr>
              <w:keepNext w:val="0"/>
              <w:keepLines w:val="0"/>
              <w:pageBreakBefore w:val="0"/>
              <w:widowControl/>
              <w:kinsoku w:val="0"/>
              <w:wordWrap/>
              <w:overflowPunct/>
              <w:topLinePunct w:val="0"/>
              <w:autoSpaceDE w:val="0"/>
              <w:autoSpaceDN w:val="0"/>
              <w:bidi w:val="0"/>
              <w:adjustRightInd w:val="0"/>
              <w:snapToGrid w:val="0"/>
              <w:spacing w:line="300" w:lineRule="exact"/>
              <w:jc w:val="both"/>
              <w:textAlignment w:val="baseline"/>
              <w:rPr>
                <w:rFonts w:hint="eastAsia" w:ascii="仿宋_GB2312" w:hAnsi="仿宋_GB2312" w:eastAsia="仿宋_GB2312" w:cs="仿宋_GB2312"/>
                <w:b w:val="0"/>
                <w:bCs w:val="0"/>
                <w:spacing w:val="-1"/>
                <w:sz w:val="20"/>
                <w:szCs w:val="20"/>
              </w:rPr>
            </w:pPr>
            <w:r>
              <w:rPr>
                <w:rFonts w:hint="eastAsia" w:ascii="仿宋_GB2312" w:hAnsi="仿宋_GB2312" w:eastAsia="仿宋_GB2312" w:cs="仿宋_GB2312"/>
                <w:b w:val="0"/>
                <w:bCs w:val="0"/>
                <w:spacing w:val="-1"/>
                <w:sz w:val="20"/>
                <w:szCs w:val="20"/>
              </w:rPr>
              <w:t xml:space="preserve"> </w:t>
            </w:r>
            <w:r>
              <w:rPr>
                <w:rFonts w:hint="eastAsia" w:ascii="仿宋_GB2312" w:hAnsi="仿宋_GB2312" w:eastAsia="仿宋_GB2312" w:cs="仿宋_GB2312"/>
                <w:b w:val="0"/>
                <w:bCs w:val="0"/>
                <w:spacing w:val="-1"/>
                <w:sz w:val="20"/>
                <w:szCs w:val="20"/>
                <w:lang w:val="en-US" w:eastAsia="zh-CN"/>
              </w:rPr>
              <w:t xml:space="preserve">   </w:t>
            </w:r>
            <w:r>
              <w:rPr>
                <w:rFonts w:hint="eastAsia" w:ascii="仿宋_GB2312" w:hAnsi="仿宋_GB2312" w:eastAsia="仿宋_GB2312" w:cs="仿宋_GB2312"/>
                <w:b w:val="0"/>
                <w:bCs w:val="0"/>
                <w:color w:val="000000" w:themeColor="text1"/>
                <w:spacing w:val="-1"/>
                <w:sz w:val="20"/>
                <w:szCs w:val="20"/>
                <w14:textFill>
                  <w14:solidFill>
                    <w14:schemeClr w14:val="tx1"/>
                  </w14:solidFill>
                </w14:textFill>
              </w:rPr>
              <w:t xml:space="preserve">第八十七条 </w:t>
            </w:r>
            <w:r>
              <w:rPr>
                <w:rFonts w:hint="eastAsia" w:ascii="仿宋_GB2312" w:hAnsi="仿宋_GB2312" w:eastAsia="仿宋_GB2312" w:cs="仿宋_GB2312"/>
                <w:b w:val="0"/>
                <w:bCs w:val="0"/>
                <w:spacing w:val="-1"/>
                <w:sz w:val="20"/>
                <w:szCs w:val="20"/>
              </w:rPr>
              <w:t>社会保险经办机构以及医疗机构、药品经营单位等社会保险服务机构以欺诈、伪造证明材料或者其他手段骗取社会保险基金支出的，由社会保险行政部门责令退回骗取的社会保险金，处骗取金额二倍以上五倍以下的罚款；属于社会保险服务机构的，解除服务协议；直接负责的主管人员和其他直接责任人员有执业资格的，依法吊销其执业资格。</w:t>
            </w:r>
          </w:p>
          <w:p>
            <w:pPr>
              <w:keepNext w:val="0"/>
              <w:keepLines w:val="0"/>
              <w:pageBreakBefore w:val="0"/>
              <w:widowControl/>
              <w:kinsoku w:val="0"/>
              <w:wordWrap/>
              <w:overflowPunct/>
              <w:topLinePunct w:val="0"/>
              <w:autoSpaceDE w:val="0"/>
              <w:autoSpaceDN w:val="0"/>
              <w:bidi w:val="0"/>
              <w:adjustRightInd w:val="0"/>
              <w:snapToGrid w:val="0"/>
              <w:spacing w:line="300" w:lineRule="exact"/>
              <w:ind w:firstLine="396" w:firstLineChars="200"/>
              <w:jc w:val="both"/>
              <w:textAlignment w:val="baseline"/>
              <w:rPr>
                <w:rFonts w:hint="eastAsia" w:ascii="仿宋_GB2312" w:hAnsi="仿宋_GB2312" w:eastAsia="仿宋_GB2312" w:cs="仿宋_GB2312"/>
                <w:b w:val="0"/>
                <w:bCs w:val="0"/>
                <w:spacing w:val="-1"/>
                <w:sz w:val="20"/>
                <w:szCs w:val="20"/>
              </w:rPr>
            </w:pPr>
            <w:r>
              <w:rPr>
                <w:rFonts w:hint="eastAsia" w:ascii="仿宋_GB2312" w:hAnsi="仿宋_GB2312" w:eastAsia="仿宋_GB2312" w:cs="仿宋_GB2312"/>
                <w:b w:val="0"/>
                <w:bCs w:val="0"/>
                <w:spacing w:val="-1"/>
                <w:sz w:val="20"/>
                <w:szCs w:val="20"/>
              </w:rPr>
              <w:t>【部门规章】《实施〈中华人民共和国社会保险法〉若干规定》（2011年6月29日人力资源社会保障部令第13号公布 自2011年7月1日起施行）</w:t>
            </w:r>
          </w:p>
          <w:p>
            <w:pPr>
              <w:keepNext w:val="0"/>
              <w:keepLines w:val="0"/>
              <w:pageBreakBefore w:val="0"/>
              <w:widowControl/>
              <w:kinsoku w:val="0"/>
              <w:wordWrap/>
              <w:overflowPunct/>
              <w:topLinePunct w:val="0"/>
              <w:autoSpaceDE w:val="0"/>
              <w:autoSpaceDN w:val="0"/>
              <w:bidi w:val="0"/>
              <w:adjustRightInd w:val="0"/>
              <w:snapToGrid w:val="0"/>
              <w:spacing w:line="300" w:lineRule="exact"/>
              <w:ind w:firstLine="396" w:firstLineChars="200"/>
              <w:jc w:val="both"/>
              <w:textAlignment w:val="baseline"/>
              <w:rPr>
                <w:rFonts w:hint="eastAsia" w:ascii="仿宋_GB2312" w:hAnsi="仿宋_GB2312" w:eastAsia="仿宋_GB2312" w:cs="仿宋_GB2312"/>
                <w:b w:val="0"/>
                <w:bCs w:val="0"/>
                <w:spacing w:val="-1"/>
                <w:sz w:val="20"/>
                <w:szCs w:val="20"/>
              </w:rPr>
            </w:pPr>
            <w:r>
              <w:rPr>
                <w:rFonts w:hint="eastAsia" w:ascii="仿宋_GB2312" w:hAnsi="仿宋_GB2312" w:eastAsia="仿宋_GB2312" w:cs="仿宋_GB2312"/>
                <w:b w:val="0"/>
                <w:bCs w:val="0"/>
                <w:color w:val="000000" w:themeColor="text1"/>
                <w:spacing w:val="-1"/>
                <w:sz w:val="20"/>
                <w:szCs w:val="20"/>
                <w14:textFill>
                  <w14:solidFill>
                    <w14:schemeClr w14:val="tx1"/>
                  </w14:solidFill>
                </w14:textFill>
              </w:rPr>
              <w:t>第二十五条</w:t>
            </w:r>
            <w:r>
              <w:rPr>
                <w:rFonts w:hint="eastAsia" w:ascii="仿宋_GB2312" w:hAnsi="仿宋_GB2312" w:eastAsia="仿宋_GB2312" w:cs="仿宋_GB2312"/>
                <w:b w:val="0"/>
                <w:bCs w:val="0"/>
                <w:spacing w:val="-1"/>
                <w:sz w:val="20"/>
                <w:szCs w:val="20"/>
              </w:rPr>
              <w:t xml:space="preserve"> 医疗机构、药品经营单位等社会保险服务机构以欺诈、伪造证明材料或者其他手段骗取社会保险基金支出的，由社会保险行政部门责令退回骗取的社会保险金，处骗取金额二倍以上五倍以下的罚款。对与社会保险经办机构签订服务协议的医疗机构、药品经营单位，由社会保险经办机构按照协议追究责任，情节严重的，可以解除与其签订的服务协议。对有执业资格的直接负责的主管人员和其他直接责任人员，由社会保险行政部门建议授予其执业资格的有关主管部门依法吊销其执业资格。</w:t>
            </w:r>
          </w:p>
          <w:p>
            <w:pPr>
              <w:keepNext w:val="0"/>
              <w:keepLines w:val="0"/>
              <w:pageBreakBefore w:val="0"/>
              <w:widowControl/>
              <w:kinsoku w:val="0"/>
              <w:wordWrap/>
              <w:overflowPunct/>
              <w:topLinePunct w:val="0"/>
              <w:autoSpaceDE w:val="0"/>
              <w:autoSpaceDN w:val="0"/>
              <w:bidi w:val="0"/>
              <w:adjustRightInd w:val="0"/>
              <w:snapToGrid w:val="0"/>
              <w:spacing w:line="300" w:lineRule="exact"/>
              <w:ind w:firstLine="396" w:firstLineChars="200"/>
              <w:jc w:val="both"/>
              <w:textAlignment w:val="baseline"/>
              <w:rPr>
                <w:rFonts w:hint="eastAsia" w:ascii="仿宋_GB2312" w:hAnsi="仿宋_GB2312" w:eastAsia="仿宋_GB2312" w:cs="仿宋_GB2312"/>
                <w:b w:val="0"/>
                <w:bCs w:val="0"/>
                <w:spacing w:val="-1"/>
                <w:sz w:val="20"/>
                <w:szCs w:val="20"/>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b w:val="0"/>
                <w:bCs w:val="0"/>
                <w:spacing w:val="-3"/>
                <w:sz w:val="20"/>
                <w:szCs w:val="20"/>
              </w:rPr>
            </w:pPr>
            <w:r>
              <w:rPr>
                <w:rFonts w:hint="eastAsia" w:ascii="仿宋_GB2312" w:hAnsi="仿宋_GB2312" w:eastAsia="仿宋_GB2312" w:cs="仿宋_GB2312"/>
                <w:sz w:val="20"/>
                <w:szCs w:val="20"/>
                <w:lang w:eastAsia="zh-CN"/>
              </w:rPr>
              <w:t>陵川县医疗保障局</w:t>
            </w:r>
          </w:p>
        </w:tc>
        <w:tc>
          <w:tcPr>
            <w:tcW w:w="17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b w:val="0"/>
                <w:bCs w:val="0"/>
                <w:spacing w:val="-3"/>
                <w:sz w:val="20"/>
                <w:szCs w:val="20"/>
                <w:lang w:eastAsia="zh-CN"/>
              </w:rPr>
            </w:pPr>
            <w:r>
              <w:rPr>
                <w:rFonts w:hint="eastAsia" w:ascii="仿宋_GB2312" w:hAnsi="仿宋_GB2312" w:eastAsia="仿宋_GB2312" w:cs="仿宋_GB2312"/>
                <w:b w:val="0"/>
                <w:bCs w:val="0"/>
                <w:spacing w:val="-3"/>
                <w:sz w:val="20"/>
                <w:szCs w:val="20"/>
                <w:lang w:eastAsia="zh-CN"/>
              </w:rPr>
              <w:t>财务和基金监管股</w:t>
            </w:r>
          </w:p>
        </w:tc>
        <w:tc>
          <w:tcPr>
            <w:tcW w:w="507" w:type="dxa"/>
            <w:vAlign w:val="top"/>
          </w:tcPr>
          <w:p>
            <w:pPr>
              <w:keepNext w:val="0"/>
              <w:keepLines w:val="0"/>
              <w:pageBreakBefore w:val="0"/>
              <w:widowControl/>
              <w:kinsoku w:val="0"/>
              <w:wordWrap/>
              <w:overflowPunct/>
              <w:topLinePunct w:val="0"/>
              <w:autoSpaceDE w:val="0"/>
              <w:autoSpaceDN w:val="0"/>
              <w:bidi w:val="0"/>
              <w:adjustRightInd w:val="0"/>
              <w:snapToGrid w:val="0"/>
              <w:spacing w:before="101" w:line="260" w:lineRule="exact"/>
              <w:ind w:left="244"/>
              <w:textAlignment w:val="baseline"/>
              <w:rPr>
                <w:rFonts w:hint="eastAsia" w:ascii="仿宋_GB2312" w:hAnsi="仿宋_GB2312" w:eastAsia="仿宋_GB2312" w:cs="仿宋_GB2312"/>
                <w:b w:val="0"/>
                <w:bCs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9" w:hRule="atLeast"/>
        </w:trPr>
        <w:tc>
          <w:tcPr>
            <w:tcW w:w="453"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03</w:t>
            </w:r>
          </w:p>
        </w:tc>
        <w:tc>
          <w:tcPr>
            <w:tcW w:w="2596"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300" w:lineRule="exact"/>
              <w:jc w:val="left"/>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rPr>
              <w:t>隐匿、转移、侵占、挪用社 会保险基金或违法进行违规 投资运营等行为的处罚</w:t>
            </w:r>
          </w:p>
        </w:tc>
        <w:tc>
          <w:tcPr>
            <w:tcW w:w="1003" w:type="dxa"/>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b w:val="0"/>
                <w:bCs w:val="0"/>
                <w:spacing w:val="-1"/>
                <w:sz w:val="20"/>
                <w:szCs w:val="20"/>
              </w:rPr>
            </w:pPr>
            <w:r>
              <w:rPr>
                <w:rFonts w:hint="eastAsia" w:ascii="仿宋_GB2312" w:hAnsi="仿宋_GB2312" w:eastAsia="仿宋_GB2312" w:cs="仿宋_GB2312"/>
                <w:b w:val="0"/>
                <w:bCs w:val="0"/>
                <w:spacing w:val="-1"/>
                <w:sz w:val="20"/>
                <w:szCs w:val="20"/>
              </w:rPr>
              <w:t>行政处罚</w:t>
            </w:r>
          </w:p>
        </w:tc>
        <w:tc>
          <w:tcPr>
            <w:tcW w:w="7250"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300" w:lineRule="exact"/>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both"/>
              <w:textAlignment w:val="baseline"/>
              <w:rPr>
                <w:rFonts w:hint="eastAsia" w:ascii="仿宋_GB2312" w:hAnsi="仿宋_GB2312" w:eastAsia="仿宋_GB2312" w:cs="仿宋_GB2312"/>
                <w:b w:val="0"/>
                <w:bCs w:val="0"/>
                <w:spacing w:val="-1"/>
                <w:sz w:val="20"/>
                <w:szCs w:val="20"/>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【法律】《中华人民共和国社会保险法》</w:t>
            </w:r>
            <w:r>
              <w:rPr>
                <w:rFonts w:hint="eastAsia" w:ascii="仿宋_GB2312" w:hAnsi="仿宋_GB2312" w:eastAsia="仿宋_GB2312" w:cs="仿宋_GB2312"/>
                <w:b w:val="0"/>
                <w:bCs w:val="0"/>
                <w:spacing w:val="-1"/>
                <w:sz w:val="20"/>
                <w:szCs w:val="20"/>
              </w:rPr>
              <w:t>（2010年10月28日第十一届全国人民代表大会常务委员会第十七次会议通过 根据2018年12月29日第十三届全国人民代表大会常务委员会第七次会议《关于修改〈中华人民共和国社会保险法〉的决定》修正）</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 xml:space="preserve"> 第九十一条</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0"/>
                <w:szCs w:val="20"/>
                <w:lang w:eastAsia="zh-CN"/>
                <w14:textFill>
                  <w14:solidFill>
                    <w14:schemeClr w14:val="tx1"/>
                  </w14:solidFill>
                </w14:textFill>
              </w:rPr>
              <w:t>违反本法规定，隐匿、转移、侵占、挪用社会保险基金或者违规投资运营的，由社会保险行政部门、财政部门、审计机关责令追回；有违法所得的，没收违法所得；对直接负责的主管人员和其他直接责任人员依法给予处分。</w:t>
            </w:r>
          </w:p>
          <w:p>
            <w:pPr>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both"/>
              <w:textAlignment w:val="baseline"/>
              <w:rPr>
                <w:rFonts w:hint="eastAsia" w:ascii="仿宋_GB2312" w:hAnsi="仿宋_GB2312" w:eastAsia="仿宋_GB2312" w:cs="仿宋_GB2312"/>
                <w:b w:val="0"/>
                <w:bCs w:val="0"/>
                <w:spacing w:val="-1"/>
                <w:sz w:val="20"/>
                <w:szCs w:val="20"/>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【部门规章】《实施&lt;中华人民共和国社会保险法&gt;若干规定》</w:t>
            </w:r>
            <w:r>
              <w:rPr>
                <w:rFonts w:hint="eastAsia" w:ascii="仿宋_GB2312" w:hAnsi="仿宋_GB2312" w:eastAsia="仿宋_GB2312" w:cs="仿宋_GB2312"/>
                <w:b w:val="0"/>
                <w:bCs w:val="0"/>
                <w:spacing w:val="-1"/>
                <w:sz w:val="20"/>
                <w:szCs w:val="20"/>
              </w:rPr>
              <w:t>（2011年6月29日人力资源社会保障部令第13号公布 自2011年7月1日起施行）</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 xml:space="preserve">第二十六条 社会保险经办机构、社会保险费征收机构、社会保险基金投资运营机构、开设社会保险基金专户的机构和专户管理银行及其工作人员有下列违法情形的，由社会保险行政部门按照社会保险法第九十一条的规定查处： </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（一）将应征和已征的社会保险基金，采取隐藏、非法放置等手段，未按规定征缴、入账的；</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（二）违规将社会保险基金转入社会保险基金专户以外的账户的；</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（三）侵吞社会保险基金的；</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（四）将各项社会保险基金互相挤占或者其他社会保障基金挤占社会保险基金的；</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（五）将社会保险基金用于平衡财政预算，兴建、改建办公场所和支付人员经费、运行费用、管理费用的；</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（六）违反国家规定的投资运营政策的。</w:t>
            </w: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陵川县医疗保障局</w:t>
            </w:r>
          </w:p>
        </w:tc>
        <w:tc>
          <w:tcPr>
            <w:tcW w:w="1766" w:type="dxa"/>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财务和基金监管股</w:t>
            </w:r>
          </w:p>
        </w:tc>
        <w:tc>
          <w:tcPr>
            <w:tcW w:w="507"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napToGrid w:val="0"/>
                <w:color w:val="000000"/>
                <w:kern w:val="0"/>
                <w:sz w:val="20"/>
                <w:szCs w:val="20"/>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atLeast"/>
        </w:trPr>
        <w:tc>
          <w:tcPr>
            <w:tcW w:w="453"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04</w:t>
            </w:r>
          </w:p>
        </w:tc>
        <w:tc>
          <w:tcPr>
            <w:tcW w:w="2596"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基本医疗保险待遇的支付</w:t>
            </w:r>
          </w:p>
        </w:tc>
        <w:tc>
          <w:tcPr>
            <w:tcW w:w="1003"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行政给付</w:t>
            </w:r>
          </w:p>
        </w:tc>
        <w:tc>
          <w:tcPr>
            <w:tcW w:w="7250" w:type="dxa"/>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both"/>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【法律】《中华人民共和国社会保险法》</w:t>
            </w:r>
            <w:r>
              <w:rPr>
                <w:rFonts w:hint="eastAsia" w:ascii="仿宋_GB2312" w:hAnsi="仿宋_GB2312" w:eastAsia="仿宋_GB2312" w:cs="仿宋_GB2312"/>
                <w:b w:val="0"/>
                <w:bCs w:val="0"/>
                <w:spacing w:val="-1"/>
                <w:sz w:val="20"/>
                <w:szCs w:val="20"/>
              </w:rPr>
              <w:t>（2010年10月28日第十一届全国人民代表大会常务委员会第十七次会议通过 根据2018年12月29日第十三届全国人民代表大会常务委员会第七次会议《关于修改〈中华人民共和国社会保险法〉的决定》修正）</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left"/>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第八条 社会保险经办机构提供社会保险服务，负责社会保险登记、个人权益记录、社会保险待遇支付等工作。</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left"/>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第二十六条 职工基本医疗保险、新型农村合作医疗和城镇居民基本医疗保险的待遇标准按照国家规定执行。</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left"/>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第二十九条 参</w:t>
            </w:r>
            <w:r>
              <w:rPr>
                <w:rFonts w:hint="eastAsia" w:ascii="仿宋_GB2312" w:hAnsi="仿宋_GB2312" w:eastAsia="仿宋_GB2312" w:cs="仿宋_GB2312"/>
                <w:sz w:val="20"/>
                <w:szCs w:val="20"/>
                <w:lang w:eastAsia="zh-CN"/>
              </w:rPr>
              <w:t>保人员医疗费用中应当由基本医疗保险基金支付的部分，由社会保险经办机构与医疗机构、药品经营单位直接结算。</w:t>
            </w: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陵川县医疗保障局</w:t>
            </w:r>
          </w:p>
        </w:tc>
        <w:tc>
          <w:tcPr>
            <w:tcW w:w="17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医药服务和</w:t>
            </w:r>
          </w:p>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napToGrid w:val="0"/>
                <w:color w:val="000000"/>
                <w:kern w:val="0"/>
                <w:sz w:val="20"/>
                <w:szCs w:val="20"/>
                <w:lang w:val="en-US" w:eastAsia="zh-CN" w:bidi="ar-SA"/>
              </w:rPr>
            </w:pPr>
            <w:r>
              <w:rPr>
                <w:rFonts w:hint="eastAsia" w:ascii="仿宋_GB2312" w:hAnsi="仿宋_GB2312" w:eastAsia="仿宋_GB2312" w:cs="仿宋_GB2312"/>
                <w:sz w:val="20"/>
                <w:szCs w:val="20"/>
                <w:lang w:val="en-US" w:eastAsia="zh-CN"/>
              </w:rPr>
              <w:t>待遇保障股</w:t>
            </w:r>
          </w:p>
        </w:tc>
        <w:tc>
          <w:tcPr>
            <w:tcW w:w="507"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napToGrid w:val="0"/>
                <w:color w:val="000000"/>
                <w:kern w:val="0"/>
                <w:sz w:val="20"/>
                <w:szCs w:val="20"/>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1" w:hRule="atLeast"/>
        </w:trPr>
        <w:tc>
          <w:tcPr>
            <w:tcW w:w="453"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05</w:t>
            </w:r>
          </w:p>
        </w:tc>
        <w:tc>
          <w:tcPr>
            <w:tcW w:w="2596"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val="en-US" w:eastAsia="zh-CN"/>
              </w:rPr>
              <w:t xml:space="preserve"> </w:t>
            </w:r>
            <w:r>
              <w:rPr>
                <w:rFonts w:hint="eastAsia" w:ascii="仿宋_GB2312" w:hAnsi="仿宋_GB2312" w:eastAsia="仿宋_GB2312" w:cs="仿宋_GB2312"/>
                <w:sz w:val="20"/>
                <w:szCs w:val="20"/>
                <w:lang w:eastAsia="zh-CN"/>
              </w:rPr>
              <w:t>生育保险津贴和</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医疗待遇支付</w:t>
            </w:r>
          </w:p>
        </w:tc>
        <w:tc>
          <w:tcPr>
            <w:tcW w:w="1003"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z w:val="20"/>
                <w:szCs w:val="20"/>
              </w:rPr>
            </w:pPr>
            <w:r>
              <w:rPr>
                <w:rFonts w:hint="eastAsia" w:ascii="仿宋_GB2312" w:hAnsi="仿宋_GB2312" w:eastAsia="仿宋_GB2312" w:cs="仿宋_GB2312"/>
                <w:sz w:val="20"/>
                <w:szCs w:val="20"/>
                <w:lang w:eastAsia="zh-CN"/>
              </w:rPr>
              <w:t>行政给付</w:t>
            </w:r>
          </w:p>
        </w:tc>
        <w:tc>
          <w:tcPr>
            <w:tcW w:w="7250" w:type="dxa"/>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both"/>
              <w:textAlignment w:val="baseline"/>
              <w:rPr>
                <w:rFonts w:hint="eastAsia" w:ascii="仿宋_GB2312" w:hAnsi="仿宋_GB2312" w:eastAsia="仿宋_GB2312" w:cs="仿宋_GB2312"/>
                <w:sz w:val="20"/>
                <w:szCs w:val="20"/>
                <w:lang w:eastAsia="zh-CN"/>
              </w:rPr>
            </w:pPr>
          </w:p>
          <w:p>
            <w:pPr>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both"/>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【法律】《中华人民共和国社会保险法》</w:t>
            </w:r>
            <w:r>
              <w:rPr>
                <w:rFonts w:hint="eastAsia" w:ascii="仿宋_GB2312" w:hAnsi="仿宋_GB2312" w:eastAsia="仿宋_GB2312" w:cs="仿宋_GB2312"/>
                <w:b w:val="0"/>
                <w:bCs w:val="0"/>
                <w:spacing w:val="-1"/>
                <w:sz w:val="20"/>
                <w:szCs w:val="20"/>
              </w:rPr>
              <w:t>（2010年10月28日第十一届全国人民代表大会常务委员会第十七次会议通过 根据2018年12月29日第十三届全国人民代表大会常务委员会第七次会议《关于修改〈中华人民共和国社会保险法〉的决定》修正）</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jc w:val="left"/>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sz w:val="20"/>
                <w:szCs w:val="20"/>
                <w:lang w:eastAsia="zh-CN"/>
              </w:rPr>
              <w:t xml:space="preserve"> </w:t>
            </w:r>
            <w:r>
              <w:rPr>
                <w:rFonts w:hint="eastAsia" w:ascii="仿宋_GB2312" w:hAnsi="仿宋_GB2312" w:eastAsia="仿宋_GB2312" w:cs="仿宋_GB2312"/>
                <w:sz w:val="20"/>
                <w:szCs w:val="20"/>
                <w:lang w:val="en-US" w:eastAsia="zh-CN"/>
              </w:rPr>
              <w:t xml:space="preserve">   </w:t>
            </w:r>
            <w:r>
              <w:rPr>
                <w:rFonts w:hint="eastAsia" w:ascii="仿宋_GB2312" w:hAnsi="仿宋_GB2312" w:eastAsia="仿宋_GB2312" w:cs="仿宋_GB2312"/>
                <w:color w:val="000000" w:themeColor="text1"/>
                <w:sz w:val="20"/>
                <w:szCs w:val="20"/>
                <w:lang w:eastAsia="zh-CN"/>
                <w14:textFill>
                  <w14:solidFill>
                    <w14:schemeClr w14:val="tx1"/>
                  </w14:solidFill>
                </w14:textFill>
              </w:rPr>
              <w:t>第八条 社会保险经办机构提供社会保险服务，负责社会保险登记、个人权益记录、社会保险待遇支付等工作。</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left"/>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第五十四条 用</w:t>
            </w:r>
            <w:r>
              <w:rPr>
                <w:rFonts w:hint="eastAsia" w:ascii="仿宋_GB2312" w:hAnsi="仿宋_GB2312" w:eastAsia="仿宋_GB2312" w:cs="仿宋_GB2312"/>
                <w:sz w:val="20"/>
                <w:szCs w:val="20"/>
                <w:lang w:eastAsia="zh-CN"/>
              </w:rPr>
              <w:t>人单位已经缴纳生育保险费用的，其职工享受生育保险待遇；职工未就业配偶按照国家规定享受生育医疗费用待遇。所需资金从生育保险基金中支付。生育保险待遇包括生育医疗费用和生育津贴。</w:t>
            </w:r>
          </w:p>
          <w:p>
            <w:pPr>
              <w:pStyle w:val="10"/>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left"/>
              <w:textAlignment w:val="baseline"/>
              <w:rPr>
                <w:rFonts w:hint="eastAsia" w:ascii="仿宋_GB2312" w:hAnsi="仿宋_GB2312" w:eastAsia="仿宋_GB2312" w:cs="仿宋_GB2312"/>
                <w:sz w:val="20"/>
                <w:szCs w:val="20"/>
                <w:lang w:eastAsia="zh-CN"/>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z w:val="20"/>
                <w:szCs w:val="20"/>
              </w:rPr>
            </w:pPr>
            <w:r>
              <w:rPr>
                <w:rFonts w:hint="eastAsia" w:ascii="仿宋_GB2312" w:hAnsi="仿宋_GB2312" w:eastAsia="仿宋_GB2312" w:cs="仿宋_GB2312"/>
                <w:sz w:val="20"/>
                <w:szCs w:val="20"/>
                <w:lang w:eastAsia="zh-CN"/>
              </w:rPr>
              <w:t>陵川县医疗保障局</w:t>
            </w:r>
          </w:p>
        </w:tc>
        <w:tc>
          <w:tcPr>
            <w:tcW w:w="17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医药服务和</w:t>
            </w:r>
          </w:p>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z w:val="20"/>
                <w:szCs w:val="20"/>
              </w:rPr>
            </w:pPr>
            <w:r>
              <w:rPr>
                <w:rFonts w:hint="eastAsia" w:ascii="仿宋_GB2312" w:hAnsi="仿宋_GB2312" w:eastAsia="仿宋_GB2312" w:cs="仿宋_GB2312"/>
                <w:sz w:val="20"/>
                <w:szCs w:val="20"/>
                <w:lang w:val="en-US" w:eastAsia="zh-CN"/>
              </w:rPr>
              <w:t>待遇保障股</w:t>
            </w:r>
          </w:p>
        </w:tc>
        <w:tc>
          <w:tcPr>
            <w:tcW w:w="507"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_GB2312" w:hAnsi="仿宋_GB2312" w:eastAsia="仿宋_GB2312" w:cs="仿宋_GB2312"/>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2" w:hRule="atLeast"/>
        </w:trPr>
        <w:tc>
          <w:tcPr>
            <w:tcW w:w="453"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20"/>
                <w:szCs w:val="20"/>
                <w:lang w:val="en-US" w:eastAsia="zh-CN"/>
              </w:rPr>
              <w:t>06</w:t>
            </w:r>
          </w:p>
        </w:tc>
        <w:tc>
          <w:tcPr>
            <w:tcW w:w="2596"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both"/>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参保单位参加社会保险登记及缴费基数核定</w:t>
            </w:r>
          </w:p>
        </w:tc>
        <w:tc>
          <w:tcPr>
            <w:tcW w:w="1003"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行政确认</w:t>
            </w:r>
          </w:p>
        </w:tc>
        <w:tc>
          <w:tcPr>
            <w:tcW w:w="7250" w:type="dxa"/>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ind w:firstLine="400" w:firstLineChars="200"/>
              <w:jc w:val="both"/>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【法律】《中华人民共和国社会保险法》</w:t>
            </w:r>
            <w:r>
              <w:rPr>
                <w:rFonts w:hint="eastAsia" w:ascii="仿宋_GB2312" w:hAnsi="仿宋_GB2312" w:eastAsia="仿宋_GB2312" w:cs="仿宋_GB2312"/>
                <w:b w:val="0"/>
                <w:bCs w:val="0"/>
                <w:spacing w:val="-1"/>
                <w:sz w:val="20"/>
                <w:szCs w:val="20"/>
              </w:rPr>
              <w:t>（2010年10月28日第十一届全国人民代表大会常务委员会第十七次会议通过 根据2018年12月29日第十三届全国人民代表大会常务委员会第七次会议《关于修改〈中华人民共和国社会保险法〉的决定》修正）</w:t>
            </w:r>
          </w:p>
          <w:p>
            <w:pPr>
              <w:pStyle w:val="10"/>
              <w:keepNext w:val="0"/>
              <w:keepLines w:val="0"/>
              <w:pageBreakBefore w:val="0"/>
              <w:widowControl/>
              <w:kinsoku w:val="0"/>
              <w:wordWrap/>
              <w:overflowPunct/>
              <w:topLinePunct w:val="0"/>
              <w:autoSpaceDE w:val="0"/>
              <w:autoSpaceDN w:val="0"/>
              <w:bidi w:val="0"/>
              <w:adjustRightInd w:val="0"/>
              <w:snapToGrid w:val="0"/>
              <w:spacing w:line="260" w:lineRule="exact"/>
              <w:ind w:firstLine="400" w:firstLineChars="200"/>
              <w:jc w:val="left"/>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第八条 社会保险经办机构提供社会保险服务，负责社会保险登记、个人权益记录、社会保险待遇支付等工作。</w:t>
            </w:r>
          </w:p>
          <w:p>
            <w:pPr>
              <w:pStyle w:val="10"/>
              <w:keepNext w:val="0"/>
              <w:keepLines w:val="0"/>
              <w:pageBreakBefore w:val="0"/>
              <w:widowControl/>
              <w:kinsoku w:val="0"/>
              <w:wordWrap/>
              <w:overflowPunct/>
              <w:topLinePunct w:val="0"/>
              <w:autoSpaceDE w:val="0"/>
              <w:autoSpaceDN w:val="0"/>
              <w:bidi w:val="0"/>
              <w:adjustRightInd w:val="0"/>
              <w:snapToGrid w:val="0"/>
              <w:spacing w:line="260" w:lineRule="exact"/>
              <w:ind w:firstLine="400" w:firstLineChars="200"/>
              <w:jc w:val="left"/>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第五十七条 用人单位应当自成立之日起三十日内凭营业执照、登记证书或者单位印章，向当地社会保险经办机构申请办理社会保险登记。社会保险经办机构应当自收到申请之日起十五日内予以审核，发给社会保险登记证件。用人单位的社会保险登记事项发生变更或者用人单位依法终止的，应当自变更或者终止之日起三十日内，到社会保险经办机构办理变更或者注销社会保险登记。</w:t>
            </w:r>
          </w:p>
          <w:p>
            <w:pPr>
              <w:pStyle w:val="10"/>
              <w:keepNext w:val="0"/>
              <w:keepLines w:val="0"/>
              <w:pageBreakBefore w:val="0"/>
              <w:widowControl/>
              <w:kinsoku w:val="0"/>
              <w:wordWrap/>
              <w:overflowPunct/>
              <w:topLinePunct w:val="0"/>
              <w:autoSpaceDE w:val="0"/>
              <w:autoSpaceDN w:val="0"/>
              <w:bidi w:val="0"/>
              <w:adjustRightInd w:val="0"/>
              <w:snapToGrid w:val="0"/>
              <w:spacing w:line="260" w:lineRule="exact"/>
              <w:ind w:firstLine="400" w:firstLineChars="200"/>
              <w:jc w:val="left"/>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第五十八条 用人单位应当自用工之日起三十日内为其职工向社会保险经办机构申请办理社会保险登记。</w:t>
            </w:r>
            <w:bookmarkStart w:id="0" w:name="_GoBack"/>
            <w:bookmarkEnd w:id="0"/>
          </w:p>
          <w:p>
            <w:pPr>
              <w:pStyle w:val="10"/>
              <w:keepNext w:val="0"/>
              <w:keepLines w:val="0"/>
              <w:pageBreakBefore w:val="0"/>
              <w:widowControl/>
              <w:numPr>
                <w:ilvl w:val="0"/>
                <w:numId w:val="0"/>
              </w:numPr>
              <w:kinsoku w:val="0"/>
              <w:wordWrap/>
              <w:overflowPunct/>
              <w:topLinePunct w:val="0"/>
              <w:autoSpaceDE w:val="0"/>
              <w:autoSpaceDN w:val="0"/>
              <w:bidi w:val="0"/>
              <w:adjustRightInd w:val="0"/>
              <w:snapToGrid w:val="0"/>
              <w:spacing w:line="260" w:lineRule="exact"/>
              <w:ind w:firstLine="400" w:firstLineChars="200"/>
              <w:jc w:val="left"/>
              <w:textAlignment w:val="baseline"/>
              <w:rPr>
                <w:rFonts w:hint="eastAsia" w:ascii="仿宋_GB2312" w:hAnsi="仿宋_GB2312" w:eastAsia="仿宋_GB2312" w:cs="仿宋_GB2312"/>
                <w:sz w:val="20"/>
                <w:szCs w:val="20"/>
                <w:lang w:eastAsia="zh-CN"/>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rPr>
            </w:pPr>
            <w:r>
              <w:rPr>
                <w:rFonts w:hint="eastAsia" w:ascii="仿宋_GB2312" w:hAnsi="仿宋_GB2312" w:eastAsia="仿宋_GB2312" w:cs="仿宋_GB2312"/>
                <w:sz w:val="20"/>
                <w:szCs w:val="20"/>
                <w:lang w:eastAsia="zh-CN"/>
              </w:rPr>
              <w:t>陵川县医疗保障局</w:t>
            </w:r>
          </w:p>
        </w:tc>
        <w:tc>
          <w:tcPr>
            <w:tcW w:w="17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医药服务和</w:t>
            </w:r>
          </w:p>
          <w:p>
            <w:pPr>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rPr>
            </w:pPr>
            <w:r>
              <w:rPr>
                <w:rFonts w:hint="eastAsia" w:ascii="仿宋_GB2312" w:hAnsi="仿宋_GB2312" w:eastAsia="仿宋_GB2312" w:cs="仿宋_GB2312"/>
                <w:sz w:val="20"/>
                <w:szCs w:val="20"/>
                <w:lang w:val="en-US" w:eastAsia="zh-CN"/>
              </w:rPr>
              <w:t>待遇保障股</w:t>
            </w:r>
          </w:p>
        </w:tc>
        <w:tc>
          <w:tcPr>
            <w:tcW w:w="507"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3" w:hRule="atLeast"/>
        </w:trPr>
        <w:tc>
          <w:tcPr>
            <w:tcW w:w="453"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07</w:t>
            </w:r>
          </w:p>
        </w:tc>
        <w:tc>
          <w:tcPr>
            <w:tcW w:w="2596"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both"/>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对医疗保险基金违法违规行为提供主要事实和证据的举报人的奖励</w:t>
            </w:r>
          </w:p>
        </w:tc>
        <w:tc>
          <w:tcPr>
            <w:tcW w:w="1003"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行政奖励</w:t>
            </w:r>
          </w:p>
        </w:tc>
        <w:tc>
          <w:tcPr>
            <w:tcW w:w="7250"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ind w:firstLine="400" w:firstLineChars="200"/>
              <w:jc w:val="both"/>
              <w:textAlignment w:val="baseline"/>
              <w:rPr>
                <w:rFonts w:hint="eastAsia" w:ascii="仿宋_GB2312" w:hAnsi="仿宋_GB2312" w:eastAsia="仿宋_GB2312" w:cs="仿宋_GB2312"/>
                <w:sz w:val="20"/>
                <w:szCs w:val="20"/>
                <w:lang w:eastAsia="zh-CN"/>
              </w:rPr>
            </w:pPr>
          </w:p>
          <w:p>
            <w:pPr>
              <w:pStyle w:val="10"/>
              <w:keepNext w:val="0"/>
              <w:keepLines w:val="0"/>
              <w:pageBreakBefore w:val="0"/>
              <w:widowControl/>
              <w:kinsoku w:val="0"/>
              <w:wordWrap/>
              <w:overflowPunct/>
              <w:topLinePunct w:val="0"/>
              <w:autoSpaceDE w:val="0"/>
              <w:autoSpaceDN w:val="0"/>
              <w:bidi w:val="0"/>
              <w:adjustRightInd w:val="0"/>
              <w:snapToGrid w:val="0"/>
              <w:spacing w:line="260" w:lineRule="exact"/>
              <w:ind w:firstLine="400" w:firstLineChars="200"/>
              <w:jc w:val="both"/>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【部门规章】《社会保险基金监督举报工作管理办法》（经2023年1月12日人力资源社会保障部第101次部务会审议通过，自2023年5月1日起施行）</w:t>
            </w:r>
          </w:p>
          <w:p>
            <w:pPr>
              <w:pStyle w:val="10"/>
              <w:keepNext w:val="0"/>
              <w:keepLines w:val="0"/>
              <w:pageBreakBefore w:val="0"/>
              <w:widowControl/>
              <w:kinsoku w:val="0"/>
              <w:wordWrap/>
              <w:overflowPunct/>
              <w:topLinePunct w:val="0"/>
              <w:autoSpaceDE w:val="0"/>
              <w:autoSpaceDN w:val="0"/>
              <w:bidi w:val="0"/>
              <w:adjustRightInd w:val="0"/>
              <w:snapToGrid w:val="0"/>
              <w:spacing w:line="260" w:lineRule="exact"/>
              <w:ind w:firstLine="400" w:firstLineChars="200"/>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第三条 公民、法人和其他社会组织有权对养老保险基金、医疗保险基金、失业保险基金、工伤保险基金、生育保险基金收支、管理方面的违法违纪行为进行检举、控告。公民、法人和其他社会组织就本条前款所列行为进行的检举、控告，劳动保障行政部门应当受理；</w:t>
            </w:r>
          </w:p>
          <w:p>
            <w:pPr>
              <w:pStyle w:val="10"/>
              <w:keepNext w:val="0"/>
              <w:keepLines w:val="0"/>
              <w:pageBreakBefore w:val="0"/>
              <w:widowControl/>
              <w:kinsoku w:val="0"/>
              <w:wordWrap/>
              <w:overflowPunct/>
              <w:topLinePunct w:val="0"/>
              <w:autoSpaceDE w:val="0"/>
              <w:autoSpaceDN w:val="0"/>
              <w:bidi w:val="0"/>
              <w:adjustRightInd w:val="0"/>
              <w:snapToGrid w:val="0"/>
              <w:spacing w:line="260" w:lineRule="exact"/>
              <w:ind w:firstLine="400" w:firstLineChars="200"/>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【规范性文件】《欺诈骗取医疗保障基金行为举报奖励暂行办法》（国家医疗保障局办公室　财政部办公厅  关于印发《欺诈骗取医疗保障基金行为举报奖励暂行办法》的通知（医保发〔2018〕22号）</w:t>
            </w:r>
          </w:p>
          <w:p>
            <w:pPr>
              <w:pStyle w:val="10"/>
              <w:keepNext w:val="0"/>
              <w:keepLines w:val="0"/>
              <w:pageBreakBefore w:val="0"/>
              <w:widowControl/>
              <w:kinsoku w:val="0"/>
              <w:wordWrap/>
              <w:overflowPunct/>
              <w:topLinePunct w:val="0"/>
              <w:autoSpaceDE w:val="0"/>
              <w:autoSpaceDN w:val="0"/>
              <w:bidi w:val="0"/>
              <w:adjustRightInd w:val="0"/>
              <w:snapToGrid w:val="0"/>
              <w:spacing w:line="260" w:lineRule="exact"/>
              <w:ind w:firstLine="400" w:firstLineChars="200"/>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第十条 举报人举报事项同时符合下列条件的，给予奖励：（一）举报情况经查证属实，造成医疗保障基金损失或因举报避免医疗保障基金损失；（二）举报人提供的主要事实、证据事先未被医疗保障行政部门掌握；（三）举报人选择愿意得到举报奖励。</w:t>
            </w:r>
          </w:p>
          <w:p>
            <w:pPr>
              <w:pStyle w:val="10"/>
              <w:keepNext w:val="0"/>
              <w:keepLines w:val="0"/>
              <w:pageBreakBefore w:val="0"/>
              <w:widowControl/>
              <w:numPr>
                <w:ilvl w:val="0"/>
                <w:numId w:val="0"/>
              </w:numPr>
              <w:kinsoku w:val="0"/>
              <w:wordWrap/>
              <w:overflowPunct/>
              <w:topLinePunct w:val="0"/>
              <w:autoSpaceDE w:val="0"/>
              <w:autoSpaceDN w:val="0"/>
              <w:bidi w:val="0"/>
              <w:adjustRightInd w:val="0"/>
              <w:snapToGrid w:val="0"/>
              <w:spacing w:line="260" w:lineRule="exact"/>
              <w:ind w:firstLine="400" w:firstLineChars="200"/>
              <w:jc w:val="both"/>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第十三条</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0"/>
                <w:szCs w:val="20"/>
                <w:lang w:eastAsia="zh-CN"/>
                <w14:textFill>
                  <w14:solidFill>
                    <w14:schemeClr w14:val="tx1"/>
                  </w14:solidFill>
                </w14:textFill>
              </w:rPr>
              <w:t>举报奖励坚持精神奖励与物质奖励相结合。统筹地区医疗保障部门可按查实欺诈骗</w:t>
            </w:r>
            <w:r>
              <w:rPr>
                <w:rFonts w:hint="eastAsia" w:ascii="仿宋_GB2312" w:hAnsi="仿宋_GB2312" w:eastAsia="仿宋_GB2312" w:cs="仿宋_GB2312"/>
                <w:sz w:val="20"/>
                <w:szCs w:val="20"/>
                <w:lang w:eastAsia="zh-CN"/>
              </w:rPr>
              <w:t>保金额的一定比例，对符合条件的举报人予以奖励，最高额度不超过10万元，举报奖励资金，原则上应当采用非现金方式支付。欺诈骗保行为不涉及货值金额或者罚没款金额，但举报内容属实的，可视情形给予资金奖励。</w:t>
            </w:r>
          </w:p>
          <w:p>
            <w:pPr>
              <w:pStyle w:val="10"/>
              <w:keepNext w:val="0"/>
              <w:keepLines w:val="0"/>
              <w:pageBreakBefore w:val="0"/>
              <w:widowControl/>
              <w:numPr>
                <w:ilvl w:val="0"/>
                <w:numId w:val="0"/>
              </w:numPr>
              <w:kinsoku w:val="0"/>
              <w:wordWrap/>
              <w:overflowPunct/>
              <w:topLinePunct w:val="0"/>
              <w:autoSpaceDE w:val="0"/>
              <w:autoSpaceDN w:val="0"/>
              <w:bidi w:val="0"/>
              <w:adjustRightInd w:val="0"/>
              <w:snapToGrid w:val="0"/>
              <w:spacing w:line="260" w:lineRule="exact"/>
              <w:ind w:firstLine="400" w:firstLineChars="200"/>
              <w:jc w:val="both"/>
              <w:textAlignment w:val="baseline"/>
              <w:rPr>
                <w:rFonts w:hint="eastAsia" w:ascii="仿宋_GB2312" w:hAnsi="仿宋_GB2312" w:eastAsia="仿宋_GB2312" w:cs="仿宋_GB2312"/>
                <w:sz w:val="20"/>
                <w:szCs w:val="20"/>
                <w:lang w:eastAsia="zh-CN"/>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60" w:lineRule="exact"/>
              <w:jc w:val="both"/>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陵川县医疗保障局</w:t>
            </w:r>
          </w:p>
        </w:tc>
        <w:tc>
          <w:tcPr>
            <w:tcW w:w="17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财务和基金监管股</w:t>
            </w:r>
          </w:p>
        </w:tc>
        <w:tc>
          <w:tcPr>
            <w:tcW w:w="507"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both"/>
              <w:textAlignment w:val="baseline"/>
              <w:rPr>
                <w:rFonts w:hint="eastAsia" w:ascii="仿宋_GB2312" w:hAnsi="仿宋_GB2312" w:eastAsia="仿宋_GB2312" w:cs="仿宋_GB2312"/>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0" w:hRule="atLeast"/>
        </w:trPr>
        <w:tc>
          <w:tcPr>
            <w:tcW w:w="453"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08</w:t>
            </w:r>
          </w:p>
        </w:tc>
        <w:tc>
          <w:tcPr>
            <w:tcW w:w="2596"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对可能被转移、隐匿或者灭失的医疗保险基金相关资料进行封存</w:t>
            </w:r>
          </w:p>
        </w:tc>
        <w:tc>
          <w:tcPr>
            <w:tcW w:w="1003"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rPr>
              <w:t>行政强制</w:t>
            </w:r>
          </w:p>
        </w:tc>
        <w:tc>
          <w:tcPr>
            <w:tcW w:w="7250"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ind w:firstLine="400" w:firstLineChars="200"/>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【法律】 《中华人民共和国社会保险法》（2010年10月28日第十一届全国人民代表大会常务委员会第十七次会议通过 根据2018年12月29日第十三届全国人民代表大会常务委员会第七次会议《关于修改〈中华人民共和国社会保险法〉的决定》修正）</w:t>
            </w:r>
          </w:p>
          <w:p>
            <w:pPr>
              <w:pStyle w:val="10"/>
              <w:keepNext w:val="0"/>
              <w:keepLines w:val="0"/>
              <w:pageBreakBefore w:val="0"/>
              <w:widowControl/>
              <w:kinsoku w:val="0"/>
              <w:wordWrap/>
              <w:overflowPunct/>
              <w:topLinePunct w:val="0"/>
              <w:autoSpaceDE w:val="0"/>
              <w:autoSpaceDN w:val="0"/>
              <w:bidi w:val="0"/>
              <w:adjustRightInd w:val="0"/>
              <w:snapToGrid w:val="0"/>
              <w:spacing w:line="260" w:lineRule="exact"/>
              <w:ind w:firstLine="400" w:firstLineChars="200"/>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第七十九条</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0"/>
                <w:szCs w:val="20"/>
                <w:lang w:eastAsia="zh-CN"/>
                <w14:textFill>
                  <w14:solidFill>
                    <w14:schemeClr w14:val="tx1"/>
                  </w14:solidFill>
                </w14:textFill>
              </w:rPr>
              <w:t>社会保险行政部门对社会保险基金的收支、管理和投资运营情况进行监督检查，发现存在问题的，应当提出整改建议，依法作出处理决定或者向有关行政部门提出处理建议。社会保险基金检查结果应当定期向社会公布。社会保险行政部门对社会保险基金实施监督检查，有权采取下列措施：（一）查阅、记录、复制与社会保险基金收支、管理和投资运营相关的资料，对可能被转移、隐匿或者灭失的资料予以封存；（二）询问与调查事项有关的单位和个人，要求其对与调查事项有关的问题作出说明、提供有关证明材料；（三）对隐匿、转移、侵占、挪用社会保险基金的行为予以制止并责令改正。</w:t>
            </w: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60" w:lineRule="exact"/>
              <w:jc w:val="both"/>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陵川县医疗保障局</w:t>
            </w:r>
          </w:p>
        </w:tc>
        <w:tc>
          <w:tcPr>
            <w:tcW w:w="17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60" w:lineRule="exact"/>
              <w:jc w:val="both"/>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财务和基金监管股</w:t>
            </w:r>
          </w:p>
        </w:tc>
        <w:tc>
          <w:tcPr>
            <w:tcW w:w="507"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both"/>
              <w:textAlignment w:val="baseline"/>
              <w:rPr>
                <w:rFonts w:hint="eastAsia" w:ascii="仿宋_GB2312" w:hAnsi="仿宋_GB2312" w:eastAsia="仿宋_GB2312" w:cs="仿宋_GB2312"/>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5" w:hRule="atLeast"/>
        </w:trPr>
        <w:tc>
          <w:tcPr>
            <w:tcW w:w="453"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09</w:t>
            </w:r>
          </w:p>
        </w:tc>
        <w:tc>
          <w:tcPr>
            <w:tcW w:w="2596"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对企业未足额缴纳职工医疗保险费、生育保险费加收滞纳金</w:t>
            </w:r>
          </w:p>
        </w:tc>
        <w:tc>
          <w:tcPr>
            <w:tcW w:w="1003"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rPr>
              <w:t>行政强制</w:t>
            </w:r>
          </w:p>
        </w:tc>
        <w:tc>
          <w:tcPr>
            <w:tcW w:w="7250"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ind w:firstLine="200" w:firstLineChars="100"/>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【法律】《中华人民共和国社会保险法》（2010年10月28日第十一届全国人民代表大会常务委员会第十七次会议通过 根据2018年12月29日第十三届全国人民代表大会常务委员会第七次会议《关于修改〈中华人民共和国社会保险法〉的决定》修正</w:t>
            </w:r>
          </w:p>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both"/>
              <w:textAlignment w:val="baseline"/>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 xml:space="preserve"> </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0"/>
                <w:szCs w:val="20"/>
                <w:lang w:eastAsia="zh-CN"/>
                <w14:textFill>
                  <w14:solidFill>
                    <w14:schemeClr w14:val="tx1"/>
                  </w14:solidFill>
                </w14:textFill>
              </w:rPr>
              <w:t>第八十六条</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0"/>
                <w:szCs w:val="20"/>
                <w:lang w:eastAsia="zh-CN"/>
                <w14:textFill>
                  <w14:solidFill>
                    <w14:schemeClr w14:val="tx1"/>
                  </w14:solidFill>
                </w14:textFill>
              </w:rPr>
              <w:t>用人单位未按时足额缴纳社会保险费的，由社会保险费征收机构责令限期缴纳或者补足，并自欠缴之日起，按日加收万分之五的滞纳金；逾期仍不缴纳的，由有关行政部门处欠缴数额一倍以上三倍以下的罚款。</w:t>
            </w: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60" w:lineRule="exact"/>
              <w:jc w:val="both"/>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陵川县医疗保障局</w:t>
            </w:r>
          </w:p>
        </w:tc>
        <w:tc>
          <w:tcPr>
            <w:tcW w:w="17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医药服务和</w:t>
            </w:r>
          </w:p>
          <w:p>
            <w:pPr>
              <w:keepNext w:val="0"/>
              <w:keepLines w:val="0"/>
              <w:pageBreakBefore w:val="0"/>
              <w:widowControl/>
              <w:kinsoku w:val="0"/>
              <w:wordWrap/>
              <w:overflowPunct/>
              <w:topLinePunct w:val="0"/>
              <w:autoSpaceDE w:val="0"/>
              <w:autoSpaceDN w:val="0"/>
              <w:bidi w:val="0"/>
              <w:adjustRightInd w:val="0"/>
              <w:snapToGrid w:val="0"/>
              <w:spacing w:line="260" w:lineRule="exact"/>
              <w:jc w:val="center"/>
              <w:textAlignment w:val="baseline"/>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val="en-US" w:eastAsia="zh-CN"/>
              </w:rPr>
              <w:t>待遇保障股</w:t>
            </w:r>
          </w:p>
        </w:tc>
        <w:tc>
          <w:tcPr>
            <w:tcW w:w="507" w:type="dxa"/>
            <w:vAlign w:val="center"/>
          </w:tcPr>
          <w:p>
            <w:pPr>
              <w:pStyle w:val="10"/>
              <w:keepNext w:val="0"/>
              <w:keepLines w:val="0"/>
              <w:pageBreakBefore w:val="0"/>
              <w:widowControl/>
              <w:kinsoku w:val="0"/>
              <w:wordWrap/>
              <w:overflowPunct/>
              <w:topLinePunct w:val="0"/>
              <w:autoSpaceDE w:val="0"/>
              <w:autoSpaceDN w:val="0"/>
              <w:bidi w:val="0"/>
              <w:adjustRightInd w:val="0"/>
              <w:snapToGrid w:val="0"/>
              <w:spacing w:line="260" w:lineRule="exact"/>
              <w:jc w:val="both"/>
              <w:textAlignment w:val="baseline"/>
              <w:rPr>
                <w:rFonts w:hint="eastAsia" w:ascii="仿宋_GB2312" w:hAnsi="仿宋_GB2312" w:eastAsia="仿宋_GB2312" w:cs="仿宋_GB2312"/>
                <w:sz w:val="20"/>
                <w:szCs w:val="20"/>
              </w:rPr>
            </w:pPr>
          </w:p>
        </w:tc>
      </w:tr>
    </w:tbl>
    <w:p>
      <w:pPr>
        <w:keepNext w:val="0"/>
        <w:keepLines w:val="0"/>
        <w:pageBreakBefore w:val="0"/>
        <w:widowControl/>
        <w:kinsoku w:val="0"/>
        <w:wordWrap/>
        <w:overflowPunct/>
        <w:topLinePunct w:val="0"/>
        <w:autoSpaceDE w:val="0"/>
        <w:autoSpaceDN w:val="0"/>
        <w:bidi w:val="0"/>
        <w:adjustRightInd w:val="0"/>
        <w:snapToGrid w:val="0"/>
        <w:spacing w:before="67" w:line="260" w:lineRule="exact"/>
        <w:textAlignment w:val="baseline"/>
        <w:rPr>
          <w:rFonts w:hint="eastAsia" w:ascii="仿宋_GB2312" w:hAnsi="仿宋_GB2312" w:eastAsia="仿宋_GB2312" w:cs="仿宋_GB2312"/>
          <w:spacing w:val="9"/>
          <w:sz w:val="18"/>
          <w:szCs w:val="18"/>
        </w:rPr>
      </w:pPr>
    </w:p>
    <w:p>
      <w:pPr>
        <w:spacing w:line="14" w:lineRule="auto"/>
        <w:rPr>
          <w:rFonts w:ascii="Arial"/>
          <w:sz w:val="2"/>
        </w:rPr>
      </w:pPr>
    </w:p>
    <w:sectPr>
      <w:type w:val="continuous"/>
      <w:pgSz w:w="16820" w:h="11900"/>
      <w:pgMar w:top="1011" w:right="1025" w:bottom="400" w:left="994" w:header="0" w:footer="0" w:gutter="0"/>
      <w:pgNumType w:fmt="decimal"/>
      <w:cols w:equalWidth="0" w:num="1">
        <w:col w:w="148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panose1 w:val="03000502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2JmODAwZjIxMWZjYmVhOWM1NmUxOTk3NDhkYmUwYWIifQ=="/>
  </w:docVars>
  <w:rsids>
    <w:rsidRoot w:val="00000000"/>
    <w:rsid w:val="006140F3"/>
    <w:rsid w:val="00AC0F71"/>
    <w:rsid w:val="00E836E1"/>
    <w:rsid w:val="03DF0CD8"/>
    <w:rsid w:val="0E9E44B5"/>
    <w:rsid w:val="106D374C"/>
    <w:rsid w:val="118C2F9A"/>
    <w:rsid w:val="1B5337B3"/>
    <w:rsid w:val="206C5F28"/>
    <w:rsid w:val="207143EA"/>
    <w:rsid w:val="21515390"/>
    <w:rsid w:val="2604714B"/>
    <w:rsid w:val="2AEF5DE9"/>
    <w:rsid w:val="2D9D410D"/>
    <w:rsid w:val="31DB6D80"/>
    <w:rsid w:val="327C0F63"/>
    <w:rsid w:val="32F67202"/>
    <w:rsid w:val="371511B8"/>
    <w:rsid w:val="39CE72FB"/>
    <w:rsid w:val="3D610DA8"/>
    <w:rsid w:val="43351360"/>
    <w:rsid w:val="465D2233"/>
    <w:rsid w:val="46C70DFD"/>
    <w:rsid w:val="46C93056"/>
    <w:rsid w:val="48CA65BD"/>
    <w:rsid w:val="4D8E53C8"/>
    <w:rsid w:val="4E2673C1"/>
    <w:rsid w:val="4E5073A8"/>
    <w:rsid w:val="50F02162"/>
    <w:rsid w:val="571740BF"/>
    <w:rsid w:val="57DF05C6"/>
    <w:rsid w:val="63541E0B"/>
    <w:rsid w:val="659C2113"/>
    <w:rsid w:val="74AB256F"/>
    <w:rsid w:val="798311F0"/>
    <w:rsid w:val="7B2E163A"/>
    <w:rsid w:val="7C7E3AD7"/>
    <w:rsid w:val="7F9E299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4156</Words>
  <Characters>4288</Characters>
  <TotalTime>9</TotalTime>
  <ScaleCrop>false</ScaleCrop>
  <LinksUpToDate>false</LinksUpToDate>
  <CharactersWithSpaces>4337</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2024-05-22T10:50:00Z</dcterms:created>
  <dc:creator>admin</dc:creator>
  <cp:lastModifiedBy>Administrator</cp:lastModifiedBy>
  <cp:lastPrinted>2024-06-16T03:54:00Z</cp:lastPrinted>
  <dcterms:modified xsi:type="dcterms:W3CDTF">2024-06-17T03:50:49Z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2024-05-22T10:50:18Z</vt:filetime>
  </property>
  <property fmtid="{D5CDD505-2E9C-101B-9397-08002B2CF9AE}" pid="4" name="UsrData">
    <vt:lpwstr>664d5d64524474001f09469fwl</vt:lpwstr>
  </property>
  <property fmtid="{D5CDD505-2E9C-101B-9397-08002B2CF9AE}" pid="5" name="KSOProductBuildVer">
    <vt:lpwstr>2052-12.1.0.16929</vt:lpwstr>
  </property>
  <property fmtid="{D5CDD505-2E9C-101B-9397-08002B2CF9AE}" pid="6" name="ICV">
    <vt:lpwstr>655DB1DE47DD4C7D8B26DCC58591BBE9_13</vt:lpwstr>
  </property>
</Properties>
</file>