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86" w:lineRule="exact"/>
        <w:ind w:left="0"/>
        <w:textAlignment w:val="baseline"/>
        <w:rPr>
          <w:rFonts w:hint="eastAsia" w:ascii="黑体" w:hAnsi="黑体" w:eastAsia="黑体" w:cs="黑体"/>
          <w:b w:val="0"/>
          <w:bCs w:val="0"/>
          <w:sz w:val="32"/>
          <w:szCs w:val="32"/>
          <w:lang w:eastAsia="zh-CN"/>
        </w:rPr>
      </w:pPr>
      <w:r>
        <w:rPr>
          <w:rFonts w:ascii="黑体" w:hAnsi="黑体" w:eastAsia="黑体" w:cs="黑体"/>
          <w:b w:val="0"/>
          <w:bCs w:val="0"/>
          <w:spacing w:val="14"/>
          <w:sz w:val="32"/>
          <w:szCs w:val="32"/>
        </w:rPr>
        <w:t>附件</w:t>
      </w:r>
      <w:r>
        <w:rPr>
          <w:rFonts w:hint="eastAsia" w:ascii="黑体" w:hAnsi="黑体" w:eastAsia="黑体" w:cs="黑体"/>
          <w:b w:val="0"/>
          <w:bCs w:val="0"/>
          <w:spacing w:val="14"/>
          <w:sz w:val="32"/>
          <w:szCs w:val="32"/>
          <w:lang w:val="en-US" w:eastAsia="zh-CN"/>
        </w:rPr>
        <w:t>2</w:t>
      </w: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 w:type="default"/>
          <w:pgSz w:w="16820" w:h="11900"/>
          <w:pgMar w:top="1134" w:right="1205" w:bottom="850" w:left="929" w:header="0" w:footer="0" w:gutter="0"/>
          <w:pgNumType w:fmt="numberInDash"/>
          <w:cols w:equalWidth="0" w:num="1">
            <w:col w:w="14685"/>
          </w:cols>
        </w:sectPr>
      </w:pP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322" w:firstLineChars="100"/>
        <w:jc w:val="left"/>
        <w:textAlignment w:val="baseline"/>
        <w:rPr>
          <w:rFonts w:ascii="Arial"/>
          <w:sz w:val="2"/>
        </w:rPr>
      </w:pPr>
      <w:r>
        <w:rPr>
          <w:rFonts w:hint="eastAsia" w:ascii="仿宋_GB2312" w:hAnsi="仿宋_GB2312" w:eastAsia="仿宋_GB2312" w:cs="仿宋_GB2312"/>
          <w:spacing w:val="6"/>
          <w:sz w:val="31"/>
          <w:szCs w:val="31"/>
        </w:rPr>
        <w:t>填报单位(盖章):</w:t>
      </w:r>
      <w:r>
        <w:rPr>
          <w:rFonts w:hint="eastAsia" w:ascii="仿宋_GB2312" w:hAnsi="仿宋_GB2312" w:eastAsia="仿宋_GB2312" w:cs="仿宋_GB2312"/>
          <w:spacing w:val="6"/>
          <w:sz w:val="31"/>
          <w:szCs w:val="31"/>
          <w:lang w:val="en-US" w:eastAsia="zh-CN"/>
        </w:rPr>
        <w:t>陵川县司法局                               联系人及联系方式：秦妃妃6208788</w:t>
      </w:r>
    </w:p>
    <w:tbl>
      <w:tblPr>
        <w:tblStyle w:val="9"/>
        <w:tblW w:w="1467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2"/>
        <w:gridCol w:w="1706"/>
        <w:gridCol w:w="1650"/>
        <w:gridCol w:w="6319"/>
        <w:gridCol w:w="1650"/>
        <w:gridCol w:w="1706"/>
        <w:gridCol w:w="8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jc w:val="center"/>
        </w:trPr>
        <w:tc>
          <w:tcPr>
            <w:tcW w:w="812"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400" w:lineRule="exact"/>
              <w:ind w:left="0"/>
              <w:jc w:val="center"/>
              <w:textAlignment w:val="baseline"/>
              <w:rPr>
                <w:rFonts w:ascii="宋体" w:hAnsi="宋体" w:eastAsia="宋体" w:cs="宋体"/>
                <w:sz w:val="31"/>
                <w:szCs w:val="31"/>
              </w:rPr>
            </w:pPr>
            <w:r>
              <w:rPr>
                <w:rFonts w:ascii="宋体" w:hAnsi="宋体" w:eastAsia="宋体" w:cs="宋体"/>
                <w:b/>
                <w:bCs/>
                <w:spacing w:val="1"/>
                <w:sz w:val="31"/>
                <w:szCs w:val="31"/>
              </w:rPr>
              <w:t>序号</w:t>
            </w:r>
          </w:p>
        </w:tc>
        <w:tc>
          <w:tcPr>
            <w:tcW w:w="1706"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400" w:lineRule="exact"/>
              <w:ind w:left="0"/>
              <w:jc w:val="center"/>
              <w:textAlignment w:val="baseline"/>
              <w:rPr>
                <w:rFonts w:ascii="宋体" w:hAnsi="宋体" w:eastAsia="宋体" w:cs="宋体"/>
                <w:sz w:val="31"/>
                <w:szCs w:val="31"/>
              </w:rPr>
            </w:pPr>
            <w:r>
              <w:rPr>
                <w:rFonts w:ascii="宋体" w:hAnsi="宋体" w:eastAsia="宋体" w:cs="宋体"/>
                <w:b/>
                <w:bCs/>
                <w:spacing w:val="-6"/>
                <w:sz w:val="31"/>
                <w:szCs w:val="31"/>
              </w:rPr>
              <w:t>事项名称</w:t>
            </w:r>
          </w:p>
        </w:tc>
        <w:tc>
          <w:tcPr>
            <w:tcW w:w="1650"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400" w:lineRule="exact"/>
              <w:ind w:left="0"/>
              <w:jc w:val="center"/>
              <w:textAlignment w:val="baseline"/>
              <w:rPr>
                <w:rFonts w:ascii="宋体" w:hAnsi="宋体" w:eastAsia="宋体" w:cs="宋体"/>
                <w:sz w:val="31"/>
                <w:szCs w:val="31"/>
              </w:rPr>
            </w:pPr>
            <w:r>
              <w:rPr>
                <w:rFonts w:ascii="宋体" w:hAnsi="宋体" w:eastAsia="宋体" w:cs="宋体"/>
                <w:b/>
                <w:bCs/>
                <w:spacing w:val="-1"/>
                <w:sz w:val="31"/>
                <w:szCs w:val="31"/>
              </w:rPr>
              <w:t>事项类型</w:t>
            </w:r>
          </w:p>
        </w:tc>
        <w:tc>
          <w:tcPr>
            <w:tcW w:w="6319"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400" w:lineRule="exact"/>
              <w:ind w:left="0"/>
              <w:jc w:val="center"/>
              <w:textAlignment w:val="baseline"/>
              <w:rPr>
                <w:rFonts w:ascii="宋体" w:hAnsi="宋体" w:eastAsia="宋体" w:cs="宋体"/>
                <w:sz w:val="31"/>
                <w:szCs w:val="31"/>
              </w:rPr>
            </w:pPr>
            <w:r>
              <w:rPr>
                <w:rFonts w:ascii="宋体" w:hAnsi="宋体" w:eastAsia="宋体" w:cs="宋体"/>
                <w:b/>
                <w:bCs/>
                <w:spacing w:val="-1"/>
                <w:sz w:val="31"/>
                <w:szCs w:val="31"/>
              </w:rPr>
              <w:t>事项依据</w:t>
            </w:r>
          </w:p>
        </w:tc>
        <w:tc>
          <w:tcPr>
            <w:tcW w:w="1650"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400" w:lineRule="exact"/>
              <w:ind w:left="0"/>
              <w:jc w:val="center"/>
              <w:textAlignment w:val="baseline"/>
              <w:rPr>
                <w:rFonts w:ascii="宋体" w:hAnsi="宋体" w:eastAsia="宋体" w:cs="宋体"/>
                <w:sz w:val="31"/>
                <w:szCs w:val="31"/>
              </w:rPr>
            </w:pPr>
            <w:r>
              <w:rPr>
                <w:rFonts w:ascii="宋体" w:hAnsi="宋体" w:eastAsia="宋体" w:cs="宋体"/>
                <w:b/>
                <w:bCs/>
                <w:spacing w:val="-3"/>
                <w:sz w:val="31"/>
                <w:szCs w:val="31"/>
              </w:rPr>
              <w:t>责任主体</w:t>
            </w:r>
          </w:p>
        </w:tc>
        <w:tc>
          <w:tcPr>
            <w:tcW w:w="1706"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400" w:lineRule="exact"/>
              <w:ind w:left="0"/>
              <w:jc w:val="center"/>
              <w:textAlignment w:val="baseline"/>
              <w:rPr>
                <w:rFonts w:ascii="宋体" w:hAnsi="宋体" w:eastAsia="宋体" w:cs="宋体"/>
                <w:sz w:val="31"/>
                <w:szCs w:val="31"/>
              </w:rPr>
            </w:pPr>
            <w:r>
              <w:rPr>
                <w:rFonts w:ascii="宋体" w:hAnsi="宋体" w:eastAsia="宋体" w:cs="宋体"/>
                <w:b/>
                <w:bCs/>
                <w:spacing w:val="-3"/>
                <w:sz w:val="31"/>
                <w:szCs w:val="31"/>
              </w:rPr>
              <w:t>实施主体</w:t>
            </w:r>
          </w:p>
        </w:tc>
        <w:tc>
          <w:tcPr>
            <w:tcW w:w="831"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400" w:lineRule="exact"/>
              <w:ind w:left="0"/>
              <w:jc w:val="center"/>
              <w:textAlignment w:val="baseline"/>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6"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w:t>
            </w:r>
          </w:p>
        </w:tc>
        <w:tc>
          <w:tcPr>
            <w:tcW w:w="1706"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exact"/>
              <w:jc w:val="center"/>
              <w:textAlignment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Cs w:val="21"/>
              </w:rPr>
              <w:t>对基层法律服务所违法违规行为的处罚</w:t>
            </w:r>
          </w:p>
        </w:tc>
        <w:tc>
          <w:tcPr>
            <w:tcW w:w="1650" w:type="dxa"/>
            <w:vAlign w:val="center"/>
          </w:tcPr>
          <w:p>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Cs w:val="21"/>
              </w:rPr>
              <w:t>行政处罚</w:t>
            </w:r>
          </w:p>
        </w:tc>
        <w:tc>
          <w:tcPr>
            <w:tcW w:w="6319" w:type="dxa"/>
            <w:vAlign w:val="center"/>
          </w:tcPr>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 w:val="21"/>
                <w:szCs w:val="21"/>
                <w:lang w:val="en-US" w:eastAsia="zh-CN"/>
              </w:rPr>
              <w:t>部门规章</w:t>
            </w: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Cs w:val="21"/>
              </w:rPr>
              <w:t>《基层法律服务所管理办法》（2000年3月30日司法部令第59号公布，根据2017年12月25日司法部令第137号修订）</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第三十六条 基层法律服务所有下列行为之一的，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（一）超越业务范围和诉讼代理执业区域的；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（二）违反规定不以基层法律服务所名义统一接受委托、统一收取服务费，不向委托人出具有效收费凭证的；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（三）冒用律师事务所名义执业的；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（四）以贬损他人、抬高自己、虚假承诺或者支付介绍费等不正当手段争揽业务的；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（五）伪造、涂改、抵押、出租、出借本所执业证的；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（六）违反规定变更本所名称、法定代表人或者负责人、合伙人、住所和章程的；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（七）不按规定接受年度考核，或者在年度考核中弄虚作假的；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（八）违反财务管理规定，私分、挪用或者以其他方式非法处置本所资产的；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（九）聘用未获准基层法律服务工作者执业的人员以基层法律服务工作者名义承办业务的；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（十）放纵、包庇本所基层法律服务工作者的违法违纪行为的；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（十一）内部管理混乱，无法正常开展业务的；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Cs w:val="21"/>
              </w:rPr>
              <w:t>（十二）法律、法规、规章规定应予处罚的其他行为。</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color w:val="000000"/>
                <w:kern w:val="0"/>
                <w:szCs w:val="21"/>
                <w:lang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Cs w:val="21"/>
                <w:lang w:eastAsia="zh-CN"/>
              </w:rPr>
              <w:t>公证律师管理股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3"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w:t>
            </w:r>
          </w:p>
        </w:tc>
        <w:tc>
          <w:tcPr>
            <w:tcW w:w="1706"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exact"/>
              <w:jc w:val="center"/>
              <w:textAlignment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Cs w:val="21"/>
              </w:rPr>
              <w:t>对基层法律服务工作者违法违规行为的处罚</w:t>
            </w:r>
          </w:p>
        </w:tc>
        <w:tc>
          <w:tcPr>
            <w:tcW w:w="1650" w:type="dxa"/>
            <w:vAlign w:val="center"/>
          </w:tcPr>
          <w:p>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Cs w:val="21"/>
              </w:rPr>
              <w:t>行政处罚</w:t>
            </w:r>
          </w:p>
        </w:tc>
        <w:tc>
          <w:tcPr>
            <w:tcW w:w="6319" w:type="dxa"/>
            <w:vAlign w:val="center"/>
          </w:tcPr>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 w:val="21"/>
                <w:szCs w:val="21"/>
                <w:lang w:val="en-US" w:eastAsia="zh-CN"/>
              </w:rPr>
              <w:t>部门规章</w:t>
            </w: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Cs w:val="21"/>
              </w:rPr>
              <w:t>《基层法律服务工作者管理办法》（2000年3月30日中华人民共和国司法部令第60号发布</w:t>
            </w:r>
            <w:r>
              <w:rPr>
                <w:rFonts w:hint="eastAsia" w:ascii="仿宋_GB2312" w:hAnsi="仿宋_GB2312" w:eastAsia="仿宋_GB2312" w:cs="仿宋_GB2312"/>
                <w:color w:val="000000"/>
                <w:kern w:val="0"/>
                <w:szCs w:val="21"/>
                <w:lang w:eastAsia="zh-CN"/>
              </w:rPr>
              <w:t>，</w:t>
            </w:r>
            <w:r>
              <w:rPr>
                <w:rFonts w:hint="eastAsia" w:ascii="仿宋_GB2312" w:hAnsi="仿宋_GB2312" w:eastAsia="仿宋_GB2312" w:cs="仿宋_GB2312"/>
                <w:color w:val="000000"/>
                <w:kern w:val="0"/>
                <w:szCs w:val="21"/>
              </w:rPr>
              <w:t>根据2017年12月25日中华人民共和国司法部令第138号修订）</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第四十六条  基层法律服务工作者有下列行为之一的，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（一）超越业务范围和诉讼代理执业区域的；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（二）以贬损他人、抬高自己、虚假承诺或者支付介绍费等不正当手段争揽业务的；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（三）曾担任法官的基层法律服务工作者，担任原任职法院办理案件的诉讼代理人的；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（四）冒用律师名义执业的；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（五）同时在基层法律服务所和律师事务所或者公证机构执业，或者同时在两个以上基层法律服务所执业的；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（六）无正当理由拒绝履行法律援助义务的；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（七）明知委托人的要求是非法的、欺诈性的，仍为其提供帮助的；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（八）在代理活动中超越代理权限或者滥用代理权，侵犯被代理人合法利益的；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（九）在同一诉讼、仲裁、行政裁决中，为双方当事人或者有利害关系的第三人代理的；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（十）不遵守与当事人订立的委托合同，拒绝或者疏怠履行法律服务义务，损害委托人合法权益的；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（十一）在调解、代理、法律顾问等执业活动中压制、侮辱、报复当事人，造成恶劣影响的；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（十二）不按规定接受年度考核，或者在年度考核中弄虚作假的；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（十三）泄露在执业活动中知悉的商业秘密或者个人隐私的；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（十四）以影响案件审判、仲裁或者行政裁定结果为目的，违反规定会见有关司法、仲裁或者行政执法人员，或者向其请客送礼的；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（十五）私自接受委托承办法律事务，或者私自收取费用，或者向委托人索要额外报酬的；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（十六）在代理活动中收受对方当事人、利害关系人财物或者与其恶意串通，损害委托人合法权益的；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（十七）违反司法、仲裁、行政执法工作有关制度规定，干扰或者阻碍司法、仲裁、行政执法工作正常进行的；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（十八）泄露在执业活动中知悉的国家秘密的；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（十九）伪造、隐匿、毁灭证据或者故意协助委托人伪造、隐匿、毁灭证据的；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（二十）向有关司法人员、仲裁员或者行政执法人员行贿、介绍贿赂，或者指使、诱导委托人向其行贿的；</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（二十一）法律、法规、规章规定应予处罚的其他行为。</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Cs w:val="21"/>
              </w:rPr>
              <w:t>司法行政机关对基层法律服务工作者实施上述行政处罚的同时，应当责令其改正。</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color w:val="000000"/>
                <w:kern w:val="0"/>
                <w:szCs w:val="21"/>
                <w:lang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Cs w:val="21"/>
                <w:lang w:eastAsia="zh-CN"/>
              </w:rPr>
              <w:t>公证律师管理股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5"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Cs w:val="21"/>
              </w:rPr>
              <w:t>对没有取得律师执业证书以律师名义从事法律服务业务人员的处罚</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Cs w:val="21"/>
              </w:rPr>
              <w:t>行政处罚</w:t>
            </w:r>
          </w:p>
        </w:tc>
        <w:tc>
          <w:tcPr>
            <w:tcW w:w="6319" w:type="dxa"/>
            <w:vAlign w:val="center"/>
          </w:tcPr>
          <w:p>
            <w:pPr>
              <w:keepNext w:val="0"/>
              <w:keepLines w:val="0"/>
              <w:pageBreakBefore w:val="0"/>
              <w:widowControl w:val="0"/>
              <w:shd w:val="clear" w:color="auto" w:fill="FFFFFF"/>
              <w:kinsoku/>
              <w:wordWrap/>
              <w:overflowPunct w:val="0"/>
              <w:topLinePunct w:val="0"/>
              <w:autoSpaceDE w:val="0"/>
              <w:autoSpaceDN w:val="0"/>
              <w:bidi w:val="0"/>
              <w:adjustRightInd w:val="0"/>
              <w:snapToGrid w:val="0"/>
              <w:spacing w:line="300" w:lineRule="exact"/>
              <w:ind w:firstLine="420" w:firstLineChars="200"/>
              <w:jc w:val="both"/>
              <w:rPr>
                <w:rFonts w:hint="eastAsia" w:ascii="仿宋_GB2312" w:hAnsi="仿宋_GB2312" w:eastAsia="仿宋_GB2312" w:cs="仿宋_GB2312"/>
                <w:color w:val="000000" w:themeColor="text1"/>
                <w:kern w:val="0"/>
                <w:szCs w:val="21"/>
                <w:lang w:val="en-US" w:eastAsia="zh-CN"/>
                <w14:textFill>
                  <w14:solidFill>
                    <w14:schemeClr w14:val="tx1"/>
                  </w14:solidFill>
                </w14:textFill>
              </w:rPr>
            </w:pPr>
            <w:r>
              <w:rPr>
                <w:rFonts w:hint="eastAsia" w:ascii="仿宋_GB2312" w:hAnsi="仿宋_GB2312" w:eastAsia="仿宋_GB2312" w:cs="仿宋_GB2312"/>
                <w:color w:val="000000"/>
                <w:kern w:val="0"/>
                <w:szCs w:val="21"/>
              </w:rPr>
              <w:t>【</w:t>
            </w:r>
            <w:r>
              <w:rPr>
                <w:rFonts w:hint="eastAsia" w:ascii="仿宋_GB2312" w:hAnsi="仿宋_GB2312" w:eastAsia="仿宋_GB2312" w:cs="仿宋_GB2312"/>
                <w:color w:val="000000"/>
                <w:kern w:val="0"/>
                <w:szCs w:val="21"/>
                <w:lang w:val="en-US" w:eastAsia="zh-CN"/>
              </w:rPr>
              <w:t>法律</w:t>
            </w:r>
            <w:r>
              <w:rPr>
                <w:rFonts w:hint="eastAsia" w:ascii="仿宋_GB2312" w:hAnsi="仿宋_GB2312" w:eastAsia="仿宋_GB2312" w:cs="仿宋_GB2312"/>
                <w:color w:val="000000"/>
                <w:kern w:val="0"/>
                <w:szCs w:val="21"/>
              </w:rPr>
              <w:t>】《中华人民共和国律师法》</w:t>
            </w:r>
            <w:r>
              <w:rPr>
                <w:rFonts w:hint="eastAsia" w:ascii="仿宋_GB2312" w:hAnsi="仿宋_GB2312" w:eastAsia="仿宋_GB2312" w:cs="仿宋_GB2312"/>
                <w:color w:val="000000" w:themeColor="text1"/>
                <w:kern w:val="0"/>
                <w:szCs w:val="21"/>
                <w14:textFill>
                  <w14:solidFill>
                    <w14:schemeClr w14:val="tx1"/>
                  </w14:solidFill>
                </w14:textFill>
              </w:rPr>
              <w:t>（</w:t>
            </w:r>
            <w:r>
              <w:rPr>
                <w:rFonts w:hint="eastAsia" w:ascii="仿宋_GB2312" w:hAnsi="仿宋_GB2312" w:eastAsia="仿宋_GB2312" w:cs="仿宋_GB2312"/>
                <w:color w:val="000000" w:themeColor="text1"/>
                <w:kern w:val="0"/>
                <w:szCs w:val="21"/>
                <w:lang w:val="en-US" w:eastAsia="zh-CN"/>
                <w14:textFill>
                  <w14:solidFill>
                    <w14:schemeClr w14:val="tx1"/>
                  </w14:solidFill>
                </w14:textFill>
              </w:rPr>
              <w:t>1996年</w:t>
            </w:r>
            <w:r>
              <w:rPr>
                <w:rFonts w:hint="eastAsia" w:ascii="仿宋_GB2312" w:hAnsi="仿宋_GB2312" w:eastAsia="仿宋_GB2312" w:cs="仿宋_GB2312"/>
                <w:color w:val="000000"/>
                <w:kern w:val="0"/>
                <w:szCs w:val="21"/>
              </w:rPr>
              <w:t>主席令第6</w:t>
            </w:r>
            <w:r>
              <w:rPr>
                <w:rFonts w:hint="eastAsia" w:ascii="仿宋_GB2312" w:hAnsi="仿宋_GB2312" w:eastAsia="仿宋_GB2312" w:cs="仿宋_GB2312"/>
                <w:color w:val="000000"/>
                <w:kern w:val="0"/>
                <w:szCs w:val="21"/>
                <w:lang w:val="en-US" w:eastAsia="zh-CN"/>
              </w:rPr>
              <w:t>7</w:t>
            </w:r>
            <w:r>
              <w:rPr>
                <w:rFonts w:hint="eastAsia" w:ascii="仿宋_GB2312" w:hAnsi="仿宋_GB2312" w:eastAsia="仿宋_GB2312" w:cs="仿宋_GB2312"/>
                <w:color w:val="000000"/>
                <w:kern w:val="0"/>
                <w:szCs w:val="21"/>
              </w:rPr>
              <w:t>号</w:t>
            </w:r>
            <w:r>
              <w:rPr>
                <w:rFonts w:hint="eastAsia" w:ascii="仿宋_GB2312" w:hAnsi="仿宋_GB2312" w:eastAsia="仿宋_GB2312" w:cs="仿宋_GB2312"/>
                <w:color w:val="000000"/>
                <w:kern w:val="0"/>
                <w:szCs w:val="21"/>
                <w:lang w:eastAsia="zh-CN"/>
              </w:rPr>
              <w:t>公布，</w:t>
            </w:r>
            <w:r>
              <w:rPr>
                <w:rFonts w:hint="eastAsia" w:ascii="仿宋_GB2312" w:hAnsi="仿宋_GB2312" w:eastAsia="仿宋_GB2312" w:cs="仿宋_GB2312"/>
                <w:color w:val="000000"/>
                <w:kern w:val="0"/>
                <w:szCs w:val="21"/>
                <w:lang w:val="en-US" w:eastAsia="zh-CN"/>
              </w:rPr>
              <w:t>2017年修正</w:t>
            </w:r>
            <w:r>
              <w:rPr>
                <w:rFonts w:hint="eastAsia" w:ascii="仿宋_GB2312" w:hAnsi="仿宋_GB2312" w:eastAsia="仿宋_GB2312" w:cs="仿宋_GB2312"/>
                <w:color w:val="000000" w:themeColor="text1"/>
                <w:kern w:val="0"/>
                <w:szCs w:val="21"/>
                <w:lang w:val="en-US" w:eastAsia="zh-CN"/>
                <w14:textFill>
                  <w14:solidFill>
                    <w14:schemeClr w14:val="tx1"/>
                  </w14:solidFill>
                </w14:textFill>
              </w:rPr>
              <w:t>）</w:t>
            </w:r>
          </w:p>
          <w:p>
            <w:pPr>
              <w:keepNext w:val="0"/>
              <w:keepLines w:val="0"/>
              <w:pageBreakBefore w:val="0"/>
              <w:widowControl w:val="0"/>
              <w:shd w:val="clear" w:color="auto" w:fill="FFFFFF"/>
              <w:kinsoku/>
              <w:wordWrap/>
              <w:overflowPunct w:val="0"/>
              <w:topLinePunct w:val="0"/>
              <w:autoSpaceDE w:val="0"/>
              <w:autoSpaceDN w:val="0"/>
              <w:bidi w:val="0"/>
              <w:adjustRightInd w:val="0"/>
              <w:snapToGrid w:val="0"/>
              <w:spacing w:line="300" w:lineRule="exact"/>
              <w:ind w:firstLine="420" w:firstLineChars="200"/>
              <w:jc w:val="both"/>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Cs w:val="21"/>
              </w:rPr>
              <w:t>第五十五条</w:t>
            </w:r>
            <w:r>
              <w:rPr>
                <w:rFonts w:hint="eastAsia" w:ascii="仿宋_GB2312" w:hAnsi="仿宋_GB2312" w:eastAsia="仿宋_GB2312" w:cs="仿宋_GB2312"/>
                <w:color w:val="000000"/>
                <w:kern w:val="0"/>
                <w:szCs w:val="21"/>
                <w:lang w:val="en-US" w:eastAsia="zh-CN"/>
              </w:rPr>
              <w:t xml:space="preserve"> </w:t>
            </w:r>
            <w:r>
              <w:rPr>
                <w:rFonts w:hint="eastAsia" w:ascii="仿宋_GB2312" w:hAnsi="仿宋_GB2312" w:eastAsia="仿宋_GB2312" w:cs="仿宋_GB2312"/>
                <w:color w:val="000000"/>
                <w:kern w:val="0"/>
                <w:szCs w:val="21"/>
              </w:rPr>
              <w:t>没有取得律师执业证书的人员以律师名义从事法律服务业务的，由所在地的县级以上地方人民政府司法行政部门责令停止非法执业，没收违法所得，处违法所得一倍以上五倍以下的罚款。</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color w:val="000000"/>
                <w:kern w:val="0"/>
                <w:szCs w:val="21"/>
                <w:lang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Cs w:val="21"/>
                <w:lang w:eastAsia="zh-CN"/>
              </w:rPr>
              <w:t>公证律师管理股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9"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val="en-US" w:eastAsia="zh-CN"/>
              </w:rPr>
              <w:t>对受援人以欺骗或者其他不正当手段获得法律援助的处罚</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val="en-US" w:eastAsia="zh-CN"/>
              </w:rPr>
              <w:t>行政处罚</w:t>
            </w:r>
          </w:p>
        </w:tc>
        <w:tc>
          <w:tcPr>
            <w:tcW w:w="6319"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ind w:firstLine="420" w:firstLineChars="200"/>
              <w:jc w:val="both"/>
              <w:textAlignment w:val="baseline"/>
              <w:rPr>
                <w:rFonts w:hint="eastAsia" w:ascii="仿宋_GB2312" w:hAnsi="仿宋_GB2312" w:eastAsia="仿宋_GB2312" w:cs="仿宋_GB2312"/>
                <w:color w:val="000000"/>
                <w:kern w:val="0"/>
                <w:szCs w:val="21"/>
                <w:lang w:val="en-US" w:eastAsia="zh-CN"/>
              </w:rPr>
            </w:pPr>
            <w:r>
              <w:rPr>
                <w:rFonts w:hint="eastAsia" w:ascii="仿宋_GB2312" w:hAnsi="仿宋_GB2312" w:eastAsia="仿宋_GB2312" w:cs="仿宋_GB2312"/>
                <w:color w:val="000000"/>
                <w:kern w:val="0"/>
                <w:sz w:val="21"/>
                <w:szCs w:val="21"/>
              </w:rPr>
              <w:t>【法律】</w:t>
            </w:r>
            <w:r>
              <w:rPr>
                <w:rFonts w:hint="eastAsia" w:ascii="仿宋_GB2312" w:hAnsi="仿宋_GB2312" w:eastAsia="仿宋_GB2312" w:cs="仿宋_GB2312"/>
                <w:snapToGrid w:val="0"/>
                <w:color w:val="000000"/>
                <w:kern w:val="0"/>
                <w:sz w:val="21"/>
                <w:szCs w:val="21"/>
                <w:lang w:val="en-US" w:eastAsia="zh-CN" w:bidi="ar-SA"/>
              </w:rPr>
              <w:t>《中华人民共和国法律援助法》（2021年8月20日中华人民共和国主席令</w:t>
            </w:r>
            <w:r>
              <w:rPr>
                <w:rFonts w:hint="default" w:ascii="仿宋_GB2312" w:hAnsi="仿宋_GB2312" w:eastAsia="仿宋_GB2312" w:cs="仿宋_GB2312"/>
                <w:snapToGrid w:val="0"/>
                <w:color w:val="000000"/>
                <w:kern w:val="0"/>
                <w:sz w:val="21"/>
                <w:szCs w:val="21"/>
                <w:lang w:val="en-US" w:eastAsia="zh-CN" w:bidi="ar-SA"/>
              </w:rPr>
              <w:t>第</w:t>
            </w:r>
            <w:r>
              <w:rPr>
                <w:rFonts w:hint="eastAsia" w:ascii="仿宋_GB2312" w:hAnsi="仿宋_GB2312" w:eastAsia="仿宋_GB2312" w:cs="仿宋_GB2312"/>
                <w:snapToGrid w:val="0"/>
                <w:color w:val="000000"/>
                <w:kern w:val="0"/>
                <w:sz w:val="21"/>
                <w:szCs w:val="21"/>
                <w:lang w:val="en-US" w:eastAsia="zh-CN" w:bidi="ar-SA"/>
              </w:rPr>
              <w:t>93</w:t>
            </w:r>
            <w:r>
              <w:rPr>
                <w:rFonts w:hint="default" w:ascii="仿宋_GB2312" w:hAnsi="仿宋_GB2312" w:eastAsia="仿宋_GB2312" w:cs="仿宋_GB2312"/>
                <w:snapToGrid w:val="0"/>
                <w:color w:val="000000"/>
                <w:kern w:val="0"/>
                <w:sz w:val="21"/>
                <w:szCs w:val="21"/>
                <w:lang w:val="en-US" w:eastAsia="zh-CN" w:bidi="ar-SA"/>
              </w:rPr>
              <w:t>号</w:t>
            </w:r>
            <w:r>
              <w:rPr>
                <w:rFonts w:hint="eastAsia" w:ascii="仿宋_GB2312" w:hAnsi="仿宋_GB2312" w:eastAsia="仿宋_GB2312" w:cs="仿宋_GB2312"/>
                <w:snapToGrid w:val="0"/>
                <w:color w:val="000000"/>
                <w:kern w:val="0"/>
                <w:sz w:val="21"/>
                <w:szCs w:val="21"/>
                <w:lang w:val="en-US" w:eastAsia="zh-CN" w:bidi="ar-SA"/>
              </w:rPr>
              <w:t>公布）</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baseline"/>
              <w:rPr>
                <w:rFonts w:hint="eastAsia" w:ascii="仿宋_GB2312" w:hAnsi="仿宋_GB2312" w:eastAsia="仿宋_GB2312" w:cs="仿宋_GB2312"/>
                <w:color w:val="000000"/>
                <w:kern w:val="0"/>
                <w:szCs w:val="21"/>
                <w:lang w:val="en-US" w:eastAsia="zh-CN"/>
              </w:rPr>
            </w:pPr>
            <w:r>
              <w:rPr>
                <w:rFonts w:hint="eastAsia" w:ascii="仿宋_GB2312" w:hAnsi="仿宋_GB2312" w:eastAsia="仿宋_GB2312" w:cs="仿宋_GB2312"/>
                <w:color w:val="000000"/>
                <w:kern w:val="0"/>
                <w:szCs w:val="21"/>
                <w:lang w:val="en-US" w:eastAsia="zh-CN"/>
              </w:rPr>
              <w:t>第六十四条　受援人以欺骗或者其他不正当手段获得法律援助的，由司法行政部门责令其支付已实施法律援助的费用，并处三千元以下罚款。</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color w:val="000000"/>
                <w:kern w:val="0"/>
                <w:szCs w:val="21"/>
                <w:lang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Cs w:val="21"/>
                <w:lang w:eastAsia="zh-CN"/>
              </w:rPr>
              <w:t>公证律师管理股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4"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val="en-US" w:eastAsia="zh-CN"/>
              </w:rPr>
            </w:pPr>
            <w:r>
              <w:rPr>
                <w:rFonts w:hint="eastAsia" w:ascii="仿宋_GB2312" w:hAnsi="仿宋_GB2312" w:eastAsia="仿宋_GB2312" w:cs="仿宋_GB2312"/>
                <w:color w:val="000000"/>
                <w:kern w:val="0"/>
                <w:szCs w:val="21"/>
                <w:lang w:val="en-US" w:eastAsia="zh-CN"/>
              </w:rPr>
              <w:t>对冒用法律援助名义提供法律服务并谋取利益的处罚</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val="en-US" w:eastAsia="zh-CN"/>
              </w:rPr>
            </w:pPr>
            <w:r>
              <w:rPr>
                <w:rFonts w:hint="eastAsia" w:ascii="仿宋_GB2312" w:hAnsi="仿宋_GB2312" w:eastAsia="仿宋_GB2312" w:cs="仿宋_GB2312"/>
                <w:color w:val="000000"/>
                <w:kern w:val="0"/>
                <w:szCs w:val="21"/>
                <w:lang w:val="en-US" w:eastAsia="zh-CN"/>
              </w:rPr>
              <w:t>行政处罚</w:t>
            </w:r>
          </w:p>
        </w:tc>
        <w:tc>
          <w:tcPr>
            <w:tcW w:w="6319" w:type="dxa"/>
            <w:vAlign w:val="center"/>
          </w:tcPr>
          <w:p>
            <w:pPr>
              <w:pStyle w:val="10"/>
              <w:keepNext w:val="0"/>
              <w:keepLines w:val="0"/>
              <w:pageBreakBefore w:val="0"/>
              <w:widowControl w:val="0"/>
              <w:kinsoku/>
              <w:wordWrap/>
              <w:overflowPunct w:val="0"/>
              <w:topLinePunct w:val="0"/>
              <w:autoSpaceDE w:val="0"/>
              <w:autoSpaceDN w:val="0"/>
              <w:bidi w:val="0"/>
              <w:adjustRightInd w:val="0"/>
              <w:snapToGrid w:val="0"/>
              <w:ind w:firstLine="420"/>
              <w:jc w:val="both"/>
              <w:rPr>
                <w:rFonts w:hint="eastAsia" w:ascii="仿宋_GB2312" w:hAnsi="仿宋_GB2312" w:eastAsia="仿宋_GB2312" w:cs="仿宋_GB2312"/>
                <w:color w:val="000000"/>
                <w:kern w:val="0"/>
                <w:szCs w:val="21"/>
                <w:lang w:val="en-US" w:eastAsia="zh-CN"/>
              </w:rPr>
            </w:pPr>
            <w:r>
              <w:rPr>
                <w:rFonts w:hint="eastAsia" w:ascii="仿宋_GB2312" w:hAnsi="仿宋_GB2312" w:eastAsia="仿宋_GB2312" w:cs="仿宋_GB2312"/>
                <w:color w:val="000000"/>
                <w:kern w:val="0"/>
                <w:sz w:val="21"/>
                <w:szCs w:val="21"/>
              </w:rPr>
              <w:t>【法律】</w:t>
            </w:r>
            <w:r>
              <w:rPr>
                <w:rFonts w:hint="eastAsia" w:ascii="仿宋_GB2312" w:hAnsi="仿宋_GB2312" w:eastAsia="仿宋_GB2312" w:cs="仿宋_GB2312"/>
                <w:color w:val="000000"/>
                <w:kern w:val="0"/>
                <w:szCs w:val="21"/>
                <w:lang w:val="en-US" w:eastAsia="zh-CN"/>
              </w:rPr>
              <w:t>《中华人民共和国法律援助法》（2021年8月20日中华人民共和国主席令第93号公布）</w:t>
            </w:r>
          </w:p>
          <w:p>
            <w:pPr>
              <w:pStyle w:val="10"/>
              <w:keepNext w:val="0"/>
              <w:keepLines w:val="0"/>
              <w:pageBreakBefore w:val="0"/>
              <w:widowControl w:val="0"/>
              <w:kinsoku/>
              <w:wordWrap/>
              <w:overflowPunct w:val="0"/>
              <w:topLinePunct w:val="0"/>
              <w:autoSpaceDE w:val="0"/>
              <w:autoSpaceDN w:val="0"/>
              <w:bidi w:val="0"/>
              <w:adjustRightInd w:val="0"/>
              <w:snapToGrid w:val="0"/>
              <w:ind w:firstLine="420"/>
              <w:jc w:val="both"/>
              <w:rPr>
                <w:rFonts w:hint="eastAsia" w:ascii="仿宋_GB2312" w:hAnsi="仿宋_GB2312" w:eastAsia="仿宋_GB2312" w:cs="仿宋_GB2312"/>
                <w:color w:val="000000"/>
                <w:kern w:val="0"/>
                <w:szCs w:val="21"/>
                <w:lang w:val="en-US" w:eastAsia="zh-CN"/>
              </w:rPr>
            </w:pPr>
            <w:r>
              <w:rPr>
                <w:rFonts w:hint="eastAsia" w:ascii="仿宋_GB2312" w:hAnsi="仿宋_GB2312" w:eastAsia="仿宋_GB2312" w:cs="仿宋_GB2312"/>
                <w:color w:val="000000"/>
                <w:kern w:val="0"/>
                <w:szCs w:val="21"/>
                <w:lang w:val="en-US" w:eastAsia="zh-CN"/>
              </w:rPr>
              <w:t>第六十五条　违反本法规定，冒用法律援助名义提供法律服务并谋取利益的，由司法行政部门责令改正，没收违法所得，并处违法所得一倍以上三倍以下罚款。</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color w:val="000000"/>
                <w:kern w:val="0"/>
                <w:szCs w:val="21"/>
                <w:lang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Cs w:val="21"/>
                <w:lang w:eastAsia="zh-CN"/>
              </w:rPr>
              <w:t>公证律师管理股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9"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6</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人民调解员补贴</w:t>
            </w:r>
            <w:r>
              <w:rPr>
                <w:rFonts w:hint="eastAsia" w:ascii="仿宋_GB2312" w:hAnsi="仿宋_GB2312" w:eastAsia="仿宋_GB2312" w:cs="仿宋_GB2312"/>
                <w:color w:val="000000"/>
                <w:kern w:val="0"/>
                <w:sz w:val="21"/>
                <w:szCs w:val="21"/>
                <w:lang w:eastAsia="zh-CN"/>
              </w:rPr>
              <w:t>发</w:t>
            </w:r>
            <w:r>
              <w:rPr>
                <w:rFonts w:hint="eastAsia" w:ascii="仿宋_GB2312" w:hAnsi="仿宋_GB2312" w:eastAsia="仿宋_GB2312" w:cs="仿宋_GB2312"/>
                <w:color w:val="000000"/>
                <w:kern w:val="0"/>
                <w:sz w:val="21"/>
                <w:szCs w:val="21"/>
              </w:rPr>
              <w:t>放</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行政给付</w:t>
            </w:r>
          </w:p>
        </w:tc>
        <w:tc>
          <w:tcPr>
            <w:tcW w:w="6319" w:type="dxa"/>
            <w:vAlign w:val="center"/>
          </w:tcPr>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【法律】《中华人民共和国人民调解法》（</w:t>
            </w:r>
            <w:r>
              <w:rPr>
                <w:rFonts w:hint="eastAsia" w:ascii="仿宋_GB2312" w:hAnsi="仿宋_GB2312" w:eastAsia="仿宋_GB2312" w:cs="仿宋_GB2312"/>
                <w:color w:val="000000"/>
                <w:kern w:val="0"/>
                <w:sz w:val="21"/>
                <w:szCs w:val="21"/>
                <w:lang w:val="en-US" w:eastAsia="zh-CN"/>
              </w:rPr>
              <w:t>2010年</w:t>
            </w:r>
            <w:r>
              <w:rPr>
                <w:rFonts w:hint="eastAsia" w:ascii="仿宋_GB2312" w:hAnsi="仿宋_GB2312" w:eastAsia="仿宋_GB2312" w:cs="仿宋_GB2312"/>
                <w:color w:val="000000"/>
                <w:kern w:val="0"/>
                <w:sz w:val="21"/>
                <w:szCs w:val="21"/>
              </w:rPr>
              <w:t>主席令第</w:t>
            </w:r>
            <w:r>
              <w:rPr>
                <w:rFonts w:hint="eastAsia" w:ascii="仿宋_GB2312" w:hAnsi="仿宋_GB2312" w:eastAsia="仿宋_GB2312" w:cs="仿宋_GB2312"/>
                <w:color w:val="000000"/>
                <w:kern w:val="0"/>
                <w:sz w:val="21"/>
                <w:szCs w:val="21"/>
                <w:lang w:val="en-US" w:eastAsia="zh-CN"/>
              </w:rPr>
              <w:t>34</w:t>
            </w:r>
            <w:r>
              <w:rPr>
                <w:rFonts w:hint="eastAsia" w:ascii="仿宋_GB2312" w:hAnsi="仿宋_GB2312" w:eastAsia="仿宋_GB2312" w:cs="仿宋_GB2312"/>
                <w:color w:val="000000"/>
                <w:kern w:val="0"/>
                <w:sz w:val="21"/>
                <w:szCs w:val="21"/>
              </w:rPr>
              <w:t>号</w:t>
            </w:r>
            <w:r>
              <w:rPr>
                <w:rFonts w:hint="eastAsia" w:ascii="仿宋_GB2312" w:hAnsi="仿宋_GB2312" w:eastAsia="仿宋_GB2312" w:cs="仿宋_GB2312"/>
                <w:color w:val="000000"/>
                <w:kern w:val="0"/>
                <w:sz w:val="21"/>
                <w:szCs w:val="21"/>
                <w:lang w:eastAsia="zh-CN"/>
              </w:rPr>
              <w:t>公布</w:t>
            </w:r>
            <w:r>
              <w:rPr>
                <w:rFonts w:hint="eastAsia" w:ascii="仿宋_GB2312" w:hAnsi="仿宋_GB2312" w:eastAsia="仿宋_GB2312" w:cs="仿宋_GB2312"/>
                <w:color w:val="000000"/>
                <w:kern w:val="0"/>
                <w:sz w:val="21"/>
                <w:szCs w:val="21"/>
              </w:rPr>
              <w:t>）</w:t>
            </w:r>
          </w:p>
          <w:p>
            <w:pPr>
              <w:pStyle w:val="10"/>
              <w:keepNext w:val="0"/>
              <w:keepLines w:val="0"/>
              <w:pageBreakBefore w:val="0"/>
              <w:widowControl w:val="0"/>
              <w:kinsoku/>
              <w:wordWrap/>
              <w:overflowPunct w:val="0"/>
              <w:topLinePunct w:val="0"/>
              <w:autoSpaceDE w:val="0"/>
              <w:autoSpaceDN w:val="0"/>
              <w:bidi w:val="0"/>
              <w:adjustRightInd w:val="0"/>
              <w:snapToGrid w:val="0"/>
              <w:jc w:val="both"/>
              <w:rPr>
                <w:rFonts w:hint="eastAsia"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基层工作管理股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57"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7</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人民调解员因从事工作致伤致残，牺牲的救助，抚恤</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行政</w:t>
            </w:r>
            <w:r>
              <w:rPr>
                <w:rFonts w:hint="eastAsia" w:ascii="仿宋_GB2312" w:hAnsi="仿宋_GB2312" w:eastAsia="仿宋_GB2312" w:cs="仿宋_GB2312"/>
                <w:color w:val="000000"/>
                <w:kern w:val="0"/>
                <w:sz w:val="21"/>
                <w:szCs w:val="21"/>
                <w:lang w:eastAsia="zh-CN"/>
              </w:rPr>
              <w:t>给付</w:t>
            </w:r>
          </w:p>
        </w:tc>
        <w:tc>
          <w:tcPr>
            <w:tcW w:w="6319" w:type="dxa"/>
            <w:vAlign w:val="center"/>
          </w:tcPr>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【法律】《中华人民共和国</w:t>
            </w:r>
            <w:r>
              <w:rPr>
                <w:rFonts w:hint="eastAsia" w:ascii="仿宋_GB2312" w:hAnsi="仿宋_GB2312" w:eastAsia="仿宋_GB2312" w:cs="仿宋_GB2312"/>
                <w:color w:val="000000"/>
                <w:kern w:val="0"/>
                <w:sz w:val="21"/>
                <w:szCs w:val="21"/>
                <w:lang w:eastAsia="zh-CN"/>
              </w:rPr>
              <w:t>人民</w:t>
            </w:r>
            <w:r>
              <w:rPr>
                <w:rFonts w:hint="eastAsia" w:ascii="仿宋_GB2312" w:hAnsi="仿宋_GB2312" w:eastAsia="仿宋_GB2312" w:cs="仿宋_GB2312"/>
                <w:color w:val="000000"/>
                <w:kern w:val="0"/>
                <w:sz w:val="21"/>
                <w:szCs w:val="21"/>
              </w:rPr>
              <w:t>调解法》</w:t>
            </w:r>
            <w:r>
              <w:rPr>
                <w:rFonts w:hint="eastAsia" w:ascii="仿宋_GB2312" w:hAnsi="仿宋_GB2312" w:eastAsia="仿宋_GB2312" w:cs="仿宋_GB2312"/>
                <w:color w:val="000000"/>
                <w:kern w:val="0"/>
                <w:sz w:val="21"/>
                <w:szCs w:val="21"/>
                <w:lang w:eastAsia="zh-CN"/>
              </w:rPr>
              <w:t>（</w:t>
            </w:r>
            <w:r>
              <w:rPr>
                <w:rFonts w:hint="eastAsia" w:ascii="仿宋_GB2312" w:hAnsi="仿宋_GB2312" w:eastAsia="仿宋_GB2312" w:cs="仿宋_GB2312"/>
                <w:color w:val="000000"/>
                <w:kern w:val="0"/>
                <w:sz w:val="21"/>
                <w:szCs w:val="21"/>
                <w:lang w:val="en-US" w:eastAsia="zh-CN"/>
              </w:rPr>
              <w:t>2010年</w:t>
            </w:r>
            <w:r>
              <w:rPr>
                <w:rFonts w:hint="eastAsia" w:ascii="仿宋_GB2312" w:hAnsi="仿宋_GB2312" w:eastAsia="仿宋_GB2312" w:cs="仿宋_GB2312"/>
                <w:color w:val="000000"/>
                <w:kern w:val="0"/>
                <w:sz w:val="21"/>
                <w:szCs w:val="21"/>
              </w:rPr>
              <w:t>主席令第</w:t>
            </w:r>
            <w:r>
              <w:rPr>
                <w:rFonts w:hint="eastAsia" w:ascii="仿宋_GB2312" w:hAnsi="仿宋_GB2312" w:eastAsia="仿宋_GB2312" w:cs="仿宋_GB2312"/>
                <w:color w:val="000000"/>
                <w:kern w:val="0"/>
                <w:sz w:val="21"/>
                <w:szCs w:val="21"/>
                <w:lang w:val="en-US" w:eastAsia="zh-CN"/>
              </w:rPr>
              <w:t>34</w:t>
            </w:r>
            <w:r>
              <w:rPr>
                <w:rFonts w:hint="eastAsia" w:ascii="仿宋_GB2312" w:hAnsi="仿宋_GB2312" w:eastAsia="仿宋_GB2312" w:cs="仿宋_GB2312"/>
                <w:color w:val="000000"/>
                <w:kern w:val="0"/>
                <w:sz w:val="21"/>
                <w:szCs w:val="21"/>
              </w:rPr>
              <w:t>号</w:t>
            </w:r>
            <w:r>
              <w:rPr>
                <w:rFonts w:hint="eastAsia" w:ascii="仿宋_GB2312" w:hAnsi="仿宋_GB2312" w:eastAsia="仿宋_GB2312" w:cs="仿宋_GB2312"/>
                <w:color w:val="000000"/>
                <w:kern w:val="0"/>
                <w:sz w:val="21"/>
                <w:szCs w:val="21"/>
                <w:lang w:eastAsia="zh-CN"/>
              </w:rPr>
              <w:t>公布）</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基层工作管理股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1"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8</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对公民法律援助申请的审批</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pacing w:val="15"/>
                <w:sz w:val="21"/>
                <w:szCs w:val="21"/>
              </w:rPr>
              <w:t>行政给付</w:t>
            </w:r>
          </w:p>
        </w:tc>
        <w:tc>
          <w:tcPr>
            <w:tcW w:w="6319" w:type="dxa"/>
            <w:vAlign w:val="center"/>
          </w:tcPr>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val="0"/>
              <w:autoSpaceDN w:val="0"/>
              <w:bidi w:val="0"/>
              <w:adjustRightInd w:val="0"/>
              <w:snapToGrid w:val="0"/>
              <w:spacing w:before="0" w:beforeAutospacing="0" w:after="0" w:afterAutospacing="0"/>
              <w:ind w:right="0" w:rightChars="0" w:firstLine="420" w:firstLineChars="200"/>
              <w:jc w:val="both"/>
              <w:rPr>
                <w:rFonts w:hint="eastAsia" w:ascii="仿宋_GB2312" w:hAnsi="仿宋_GB2312" w:eastAsia="仿宋_GB2312" w:cs="仿宋_GB2312"/>
                <w:i w:val="0"/>
                <w:iCs w:val="0"/>
                <w:caps w:val="0"/>
                <w:color w:val="auto"/>
                <w:spacing w:val="0"/>
                <w:sz w:val="21"/>
                <w:szCs w:val="21"/>
                <w:shd w:val="clear" w:fill="FFFFFF"/>
              </w:rPr>
            </w:pP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 w:val="21"/>
                <w:szCs w:val="21"/>
                <w:lang w:val="en-US" w:eastAsia="zh-CN"/>
              </w:rPr>
              <w:t>部门规章</w:t>
            </w: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auto"/>
                <w:sz w:val="21"/>
                <w:szCs w:val="21"/>
              </w:rPr>
              <w:t>《办理法律援助案件程序规定》</w:t>
            </w:r>
            <w:r>
              <w:rPr>
                <w:rFonts w:hint="eastAsia" w:ascii="仿宋_GB2312" w:hAnsi="仿宋_GB2312" w:eastAsia="仿宋_GB2312" w:cs="仿宋_GB2312"/>
                <w:i w:val="0"/>
                <w:iCs w:val="0"/>
                <w:caps w:val="0"/>
                <w:color w:val="auto"/>
                <w:spacing w:val="0"/>
                <w:sz w:val="21"/>
                <w:szCs w:val="21"/>
                <w:shd w:val="clear" w:fill="FFFFFF"/>
              </w:rPr>
              <w:t>（2012年4月9日司法部令第124号公布</w:t>
            </w:r>
            <w:r>
              <w:rPr>
                <w:rFonts w:hint="eastAsia" w:ascii="仿宋_GB2312" w:hAnsi="仿宋_GB2312" w:eastAsia="仿宋_GB2312" w:cs="仿宋_GB2312"/>
                <w:i w:val="0"/>
                <w:iCs w:val="0"/>
                <w:caps w:val="0"/>
                <w:color w:val="auto"/>
                <w:spacing w:val="0"/>
                <w:sz w:val="21"/>
                <w:szCs w:val="21"/>
                <w:shd w:val="clear" w:fill="FFFFFF"/>
                <w:lang w:eastAsia="zh-CN"/>
              </w:rPr>
              <w:t>，</w:t>
            </w:r>
            <w:r>
              <w:rPr>
                <w:rFonts w:hint="eastAsia" w:ascii="仿宋_GB2312" w:hAnsi="仿宋_GB2312" w:eastAsia="仿宋_GB2312" w:cs="仿宋_GB2312"/>
                <w:i w:val="0"/>
                <w:iCs w:val="0"/>
                <w:caps w:val="0"/>
                <w:color w:val="auto"/>
                <w:spacing w:val="0"/>
                <w:sz w:val="21"/>
                <w:szCs w:val="21"/>
                <w:shd w:val="clear" w:fill="FFFFFF"/>
              </w:rPr>
              <w:t>2023年7月11日司法部令第148号修订）</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val="0"/>
              <w:autoSpaceDN w:val="0"/>
              <w:bidi w:val="0"/>
              <w:adjustRightInd w:val="0"/>
              <w:snapToGrid w:val="0"/>
              <w:spacing w:before="0" w:beforeAutospacing="0" w:after="0" w:afterAutospacing="0"/>
              <w:ind w:right="0" w:rightChars="0" w:firstLine="420" w:firstLineChars="200"/>
              <w:jc w:val="both"/>
              <w:rPr>
                <w:rFonts w:hint="eastAsia" w:ascii="仿宋_GB2312" w:hAnsi="仿宋_GB2312" w:eastAsia="仿宋_GB2312" w:cs="仿宋_GB2312"/>
                <w:i w:val="0"/>
                <w:iCs w:val="0"/>
                <w:caps w:val="0"/>
                <w:color w:val="auto"/>
                <w:spacing w:val="0"/>
                <w:sz w:val="21"/>
                <w:szCs w:val="21"/>
              </w:rPr>
            </w:pPr>
            <w:r>
              <w:rPr>
                <w:rFonts w:hint="eastAsia" w:ascii="仿宋_GB2312" w:hAnsi="仿宋_GB2312" w:eastAsia="仿宋_GB2312" w:cs="仿宋_GB2312"/>
                <w:color w:val="auto"/>
                <w:sz w:val="21"/>
                <w:szCs w:val="21"/>
              </w:rPr>
              <w:t>第十三条“</w:t>
            </w:r>
            <w:r>
              <w:rPr>
                <w:rFonts w:hint="eastAsia" w:ascii="仿宋_GB2312" w:hAnsi="仿宋_GB2312" w:eastAsia="仿宋_GB2312" w:cs="仿宋_GB2312"/>
                <w:i w:val="0"/>
                <w:iCs w:val="0"/>
                <w:caps w:val="0"/>
                <w:color w:val="auto"/>
                <w:spacing w:val="0"/>
                <w:sz w:val="21"/>
                <w:szCs w:val="21"/>
                <w:shd w:val="clear" w:fill="FFFFFF"/>
              </w:rPr>
              <w:t>法律援助机构对申请人提出的法律援助申请，应当根据下列情况分别作出处理：</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val="0"/>
              <w:autoSpaceDN w:val="0"/>
              <w:bidi w:val="0"/>
              <w:adjustRightInd w:val="0"/>
              <w:snapToGrid w:val="0"/>
              <w:spacing w:before="0" w:beforeAutospacing="0" w:after="0" w:afterAutospacing="0"/>
              <w:ind w:left="0" w:right="0" w:firstLine="420"/>
              <w:jc w:val="both"/>
              <w:rPr>
                <w:rFonts w:hint="eastAsia" w:ascii="仿宋_GB2312" w:hAnsi="仿宋_GB2312" w:eastAsia="仿宋_GB2312" w:cs="仿宋_GB2312"/>
                <w:i w:val="0"/>
                <w:iCs w:val="0"/>
                <w:caps w:val="0"/>
                <w:color w:val="auto"/>
                <w:spacing w:val="0"/>
                <w:sz w:val="21"/>
                <w:szCs w:val="21"/>
              </w:rPr>
            </w:pPr>
            <w:r>
              <w:rPr>
                <w:rFonts w:hint="eastAsia" w:ascii="仿宋_GB2312" w:hAnsi="仿宋_GB2312" w:eastAsia="仿宋_GB2312" w:cs="仿宋_GB2312"/>
                <w:i w:val="0"/>
                <w:iCs w:val="0"/>
                <w:caps w:val="0"/>
                <w:color w:val="auto"/>
                <w:spacing w:val="0"/>
                <w:sz w:val="21"/>
                <w:szCs w:val="21"/>
                <w:shd w:val="clear" w:fill="FFFFFF"/>
              </w:rPr>
              <w:t>（一）申请人提交的申请材料符合规定的，应当予以受理，并向申请人出具收到申请材料的书面凭证，载明收到申请材料的名称、数量、日期等。</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val="0"/>
              <w:autoSpaceDN w:val="0"/>
              <w:bidi w:val="0"/>
              <w:adjustRightInd w:val="0"/>
              <w:snapToGrid w:val="0"/>
              <w:spacing w:before="0" w:beforeAutospacing="0" w:after="0" w:afterAutospacing="0"/>
              <w:ind w:left="0" w:right="0" w:firstLine="420"/>
              <w:jc w:val="both"/>
              <w:rPr>
                <w:rFonts w:hint="eastAsia" w:ascii="仿宋_GB2312" w:hAnsi="仿宋_GB2312" w:eastAsia="仿宋_GB2312" w:cs="仿宋_GB2312"/>
                <w:i w:val="0"/>
                <w:iCs w:val="0"/>
                <w:caps w:val="0"/>
                <w:color w:val="auto"/>
                <w:spacing w:val="0"/>
                <w:sz w:val="21"/>
                <w:szCs w:val="21"/>
              </w:rPr>
            </w:pPr>
            <w:r>
              <w:rPr>
                <w:rFonts w:hint="eastAsia" w:ascii="仿宋_GB2312" w:hAnsi="仿宋_GB2312" w:eastAsia="仿宋_GB2312" w:cs="仿宋_GB2312"/>
                <w:i w:val="0"/>
                <w:iCs w:val="0"/>
                <w:caps w:val="0"/>
                <w:color w:val="auto"/>
                <w:spacing w:val="0"/>
                <w:sz w:val="21"/>
                <w:szCs w:val="21"/>
                <w:shd w:val="clear" w:fill="FFFFFF"/>
              </w:rPr>
              <w:t>（二）申请人提交的申请材料不齐全，应当一次性告知申请人需要补充的全部内容，或者要求申请人作出必要的说明。申请人未按要求补充材料或者作出说明的，视为撤回申请。</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val="0"/>
              <w:autoSpaceDN w:val="0"/>
              <w:bidi w:val="0"/>
              <w:adjustRightInd w:val="0"/>
              <w:snapToGrid w:val="0"/>
              <w:spacing w:before="0" w:beforeAutospacing="0" w:after="0" w:afterAutospacing="0"/>
              <w:ind w:left="0" w:right="0" w:firstLine="42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aps w:val="0"/>
                <w:color w:val="auto"/>
                <w:spacing w:val="0"/>
                <w:sz w:val="21"/>
                <w:szCs w:val="21"/>
                <w:shd w:val="clear" w:fill="FFFFFF"/>
              </w:rPr>
              <w:t>（三）申请事项不属于本法律援助机构受理范围的，应当告知申请人向有管辖权的法律援助机构申请或者向有关部门申请处理。</w:t>
            </w:r>
            <w:r>
              <w:rPr>
                <w:rFonts w:hint="eastAsia" w:ascii="仿宋_GB2312" w:hAnsi="仿宋_GB2312" w:eastAsia="仿宋_GB2312" w:cs="仿宋_GB2312"/>
                <w:color w:val="auto"/>
                <w:sz w:val="21"/>
                <w:szCs w:val="21"/>
              </w:rPr>
              <w:t xml:space="preserve">”                                             </w:t>
            </w:r>
            <w:r>
              <w:rPr>
                <w:rFonts w:hint="eastAsia" w:ascii="仿宋_GB2312" w:hAnsi="仿宋_GB2312" w:eastAsia="仿宋_GB2312" w:cs="仿宋_GB2312"/>
                <w:color w:val="auto"/>
                <w:sz w:val="21"/>
                <w:szCs w:val="21"/>
                <w:lang w:val="en-US" w:eastAsia="zh-CN"/>
              </w:rPr>
              <w:t xml:space="preserve">          </w:t>
            </w:r>
            <w:r>
              <w:rPr>
                <w:rFonts w:hint="eastAsia" w:ascii="仿宋_GB2312" w:hAnsi="仿宋_GB2312" w:eastAsia="仿宋_GB2312" w:cs="仿宋_GB2312"/>
                <w:color w:val="auto"/>
                <w:sz w:val="21"/>
                <w:szCs w:val="21"/>
              </w:rPr>
              <w:t>第二十条“</w:t>
            </w:r>
            <w:r>
              <w:rPr>
                <w:rFonts w:hint="eastAsia" w:ascii="仿宋_GB2312" w:hAnsi="仿宋_GB2312" w:eastAsia="仿宋_GB2312" w:cs="仿宋_GB2312"/>
                <w:i w:val="0"/>
                <w:iCs w:val="0"/>
                <w:caps w:val="0"/>
                <w:color w:val="auto"/>
                <w:spacing w:val="0"/>
                <w:sz w:val="21"/>
                <w:szCs w:val="21"/>
                <w:shd w:val="clear" w:fill="FFFFFF"/>
              </w:rPr>
              <w:t>给予法律援助决定书或者不予法律援助决定书应当发送申请人；属于《中华人民共和国法律援助法》第三十九条规定情形的，法律援助机构还应当同时函告有关办案机关、监管场所</w:t>
            </w:r>
            <w:r>
              <w:rPr>
                <w:rFonts w:hint="eastAsia" w:ascii="仿宋_GB2312" w:hAnsi="仿宋_GB2312" w:eastAsia="仿宋_GB2312" w:cs="仿宋_GB2312"/>
                <w:i w:val="0"/>
                <w:iCs w:val="0"/>
                <w:caps w:val="0"/>
                <w:color w:val="auto"/>
                <w:spacing w:val="0"/>
                <w:sz w:val="24"/>
                <w:szCs w:val="24"/>
                <w:shd w:val="clear" w:fill="FFFFFF"/>
              </w:rPr>
              <w:t>。</w:t>
            </w:r>
            <w:r>
              <w:rPr>
                <w:rFonts w:hint="eastAsia" w:ascii="仿宋_GB2312" w:hAnsi="仿宋_GB2312" w:eastAsia="仿宋_GB2312" w:cs="仿宋_GB2312"/>
                <w:color w:val="auto"/>
                <w:sz w:val="21"/>
                <w:szCs w:val="21"/>
              </w:rPr>
              <w:t>”</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default" w:ascii="仿宋_GB2312" w:hAnsi="仿宋_GB2312" w:eastAsia="仿宋_GB2312" w:cs="仿宋_GB2312"/>
                <w:color w:val="auto"/>
                <w:sz w:val="21"/>
                <w:szCs w:val="21"/>
                <w:lang w:val="en-US"/>
              </w:rPr>
            </w:pPr>
            <w:r>
              <w:rPr>
                <w:rFonts w:hint="eastAsia" w:ascii="仿宋_GB2312" w:hAnsi="仿宋_GB2312" w:eastAsia="仿宋_GB2312" w:cs="仿宋_GB2312"/>
                <w:color w:val="auto"/>
                <w:sz w:val="21"/>
                <w:szCs w:val="21"/>
                <w:lang w:val="en-US" w:eastAsia="zh-CN"/>
              </w:rPr>
              <w:t>法律援助中心</w:t>
            </w:r>
          </w:p>
        </w:tc>
        <w:tc>
          <w:tcPr>
            <w:tcW w:w="831" w:type="dxa"/>
            <w:vAlign w:val="top"/>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9"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9</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法律援助补贴</w:t>
            </w:r>
            <w:r>
              <w:rPr>
                <w:rFonts w:hint="eastAsia" w:ascii="仿宋_GB2312" w:hAnsi="仿宋_GB2312" w:eastAsia="仿宋_GB2312" w:cs="仿宋_GB2312"/>
                <w:color w:val="auto"/>
                <w:sz w:val="21"/>
                <w:szCs w:val="21"/>
                <w:lang w:eastAsia="zh-CN"/>
              </w:rPr>
              <w:t>的</w:t>
            </w:r>
            <w:r>
              <w:rPr>
                <w:rFonts w:hint="eastAsia" w:ascii="仿宋_GB2312" w:hAnsi="仿宋_GB2312" w:eastAsia="仿宋_GB2312" w:cs="仿宋_GB2312"/>
                <w:color w:val="auto"/>
                <w:sz w:val="21"/>
                <w:szCs w:val="21"/>
              </w:rPr>
              <w:t>发放</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pacing w:val="15"/>
                <w:sz w:val="21"/>
                <w:szCs w:val="21"/>
              </w:rPr>
              <w:t>行政给付</w:t>
            </w:r>
          </w:p>
        </w:tc>
        <w:tc>
          <w:tcPr>
            <w:tcW w:w="6319" w:type="dxa"/>
            <w:vAlign w:val="center"/>
          </w:tcPr>
          <w:p>
            <w:pPr>
              <w:pStyle w:val="10"/>
              <w:keepNext w:val="0"/>
              <w:keepLines w:val="0"/>
              <w:pageBreakBefore w:val="0"/>
              <w:widowControl w:val="0"/>
              <w:numPr>
                <w:ilvl w:val="0"/>
                <w:numId w:val="0"/>
              </w:numPr>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 w:val="21"/>
                <w:szCs w:val="21"/>
                <w:lang w:val="en-US" w:eastAsia="zh-CN"/>
              </w:rPr>
              <w:t>行政法规</w:t>
            </w: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auto"/>
                <w:sz w:val="21"/>
                <w:szCs w:val="21"/>
              </w:rPr>
              <w:t>《法律援助条例》（国务院令第385号</w:t>
            </w:r>
            <w:r>
              <w:rPr>
                <w:rFonts w:hint="eastAsia" w:ascii="仿宋_GB2312" w:hAnsi="仿宋_GB2312" w:eastAsia="仿宋_GB2312" w:cs="仿宋_GB2312"/>
                <w:color w:val="auto"/>
                <w:sz w:val="21"/>
                <w:szCs w:val="21"/>
                <w:lang w:eastAsia="zh-CN"/>
              </w:rPr>
              <w:t>公布</w:t>
            </w:r>
            <w:r>
              <w:rPr>
                <w:rFonts w:hint="eastAsia" w:ascii="仿宋_GB2312" w:hAnsi="仿宋_GB2312" w:eastAsia="仿宋_GB2312" w:cs="仿宋_GB2312"/>
                <w:color w:val="auto"/>
                <w:sz w:val="21"/>
                <w:szCs w:val="21"/>
              </w:rPr>
              <w:t>）</w:t>
            </w:r>
          </w:p>
          <w:p>
            <w:pPr>
              <w:pStyle w:val="10"/>
              <w:keepNext w:val="0"/>
              <w:keepLines w:val="0"/>
              <w:pageBreakBefore w:val="0"/>
              <w:widowControl w:val="0"/>
              <w:numPr>
                <w:ilvl w:val="0"/>
                <w:numId w:val="0"/>
              </w:numPr>
              <w:kinsoku/>
              <w:wordWrap/>
              <w:overflowPunct w:val="0"/>
              <w:topLinePunct w:val="0"/>
              <w:autoSpaceDE w:val="0"/>
              <w:autoSpaceDN w:val="0"/>
              <w:bidi w:val="0"/>
              <w:adjustRightInd w:val="0"/>
              <w:snapToGrid w:val="0"/>
              <w:ind w:leftChars="0" w:firstLine="420" w:firstLineChars="200"/>
              <w:jc w:val="both"/>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第二十四条“……法律援助机构收到前款规定的结案材料后，应当向受指派办理法律援助案件的律师或者接受安排办理法律援助案件的社会组织人员支付法律援助办案补贴。法律援助办案补贴的标准由省、自治区、直辖市人民政府司法行政部门会同同级财政部门，根据当地经济发展水平，参考法律援助机构办理各类法律援助案件的平均成本等因素核定，并可以根据需要调整。”</w:t>
            </w:r>
          </w:p>
          <w:p>
            <w:pPr>
              <w:pStyle w:val="10"/>
              <w:keepNext w:val="0"/>
              <w:keepLines w:val="0"/>
              <w:pageBreakBefore w:val="0"/>
              <w:widowControl w:val="0"/>
              <w:numPr>
                <w:ilvl w:val="0"/>
                <w:numId w:val="0"/>
              </w:numPr>
              <w:kinsoku/>
              <w:wordWrap/>
              <w:overflowPunct w:val="0"/>
              <w:topLinePunct w:val="0"/>
              <w:autoSpaceDE w:val="0"/>
              <w:autoSpaceDN w:val="0"/>
              <w:bidi w:val="0"/>
              <w:adjustRightInd w:val="0"/>
              <w:snapToGrid w:val="0"/>
              <w:ind w:leftChars="0" w:firstLine="420" w:firstLineChars="200"/>
              <w:jc w:val="both"/>
              <w:rPr>
                <w:rFonts w:hint="eastAsia" w:ascii="仿宋_GB2312" w:hAnsi="仿宋_GB2312" w:eastAsia="仿宋_GB2312" w:cs="仿宋_GB2312"/>
                <w:i w:val="0"/>
                <w:iCs w:val="0"/>
                <w:color w:val="auto"/>
                <w:sz w:val="21"/>
                <w:szCs w:val="21"/>
                <w:highlight w:val="none"/>
              </w:rPr>
            </w:pP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 w:val="21"/>
                <w:szCs w:val="21"/>
                <w:lang w:val="en-US" w:eastAsia="zh-CN"/>
              </w:rPr>
              <w:t>部门规章</w:t>
            </w: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i w:val="0"/>
                <w:iCs w:val="0"/>
                <w:color w:val="auto"/>
                <w:sz w:val="21"/>
                <w:szCs w:val="21"/>
                <w:highlight w:val="none"/>
              </w:rPr>
              <w:t>《办理法律援助案件程序规定》（</w:t>
            </w:r>
            <w:r>
              <w:rPr>
                <w:rFonts w:hint="eastAsia" w:ascii="仿宋_GB2312" w:hAnsi="仿宋_GB2312" w:eastAsia="仿宋_GB2312" w:cs="仿宋_GB2312"/>
                <w:i w:val="0"/>
                <w:iCs w:val="0"/>
                <w:caps w:val="0"/>
                <w:color w:val="auto"/>
                <w:spacing w:val="0"/>
                <w:sz w:val="21"/>
                <w:szCs w:val="21"/>
                <w:highlight w:val="none"/>
                <w:shd w:val="clear" w:fill="FFFFFF"/>
              </w:rPr>
              <w:t>2012年4月9日司法部令第124号公布</w:t>
            </w:r>
            <w:r>
              <w:rPr>
                <w:rFonts w:hint="eastAsia" w:ascii="仿宋_GB2312" w:hAnsi="仿宋_GB2312" w:eastAsia="仿宋_GB2312" w:cs="仿宋_GB2312"/>
                <w:i w:val="0"/>
                <w:iCs w:val="0"/>
                <w:caps w:val="0"/>
                <w:color w:val="auto"/>
                <w:spacing w:val="0"/>
                <w:sz w:val="21"/>
                <w:szCs w:val="21"/>
                <w:highlight w:val="none"/>
                <w:shd w:val="clear" w:fill="FFFFFF"/>
                <w:lang w:eastAsia="zh-CN"/>
              </w:rPr>
              <w:t>，</w:t>
            </w:r>
            <w:r>
              <w:rPr>
                <w:rFonts w:hint="eastAsia" w:ascii="仿宋_GB2312" w:hAnsi="仿宋_GB2312" w:eastAsia="仿宋_GB2312" w:cs="仿宋_GB2312"/>
                <w:i w:val="0"/>
                <w:iCs w:val="0"/>
                <w:caps w:val="0"/>
                <w:color w:val="auto"/>
                <w:spacing w:val="0"/>
                <w:sz w:val="21"/>
                <w:szCs w:val="21"/>
                <w:highlight w:val="none"/>
                <w:shd w:val="clear" w:fill="FFFFFF"/>
              </w:rPr>
              <w:t>2023年7月11日司法部令第148号修订</w:t>
            </w:r>
            <w:r>
              <w:rPr>
                <w:rFonts w:hint="eastAsia" w:ascii="仿宋_GB2312" w:hAnsi="仿宋_GB2312" w:eastAsia="仿宋_GB2312" w:cs="仿宋_GB2312"/>
                <w:i w:val="0"/>
                <w:iCs w:val="0"/>
                <w:color w:val="auto"/>
                <w:sz w:val="21"/>
                <w:szCs w:val="21"/>
                <w:highlight w:val="none"/>
              </w:rPr>
              <w:t>）</w:t>
            </w:r>
          </w:p>
          <w:p>
            <w:pPr>
              <w:pStyle w:val="10"/>
              <w:keepNext w:val="0"/>
              <w:keepLines w:val="0"/>
              <w:pageBreakBefore w:val="0"/>
              <w:widowControl w:val="0"/>
              <w:numPr>
                <w:ilvl w:val="0"/>
                <w:numId w:val="0"/>
              </w:numPr>
              <w:kinsoku/>
              <w:wordWrap/>
              <w:overflowPunct w:val="0"/>
              <w:topLinePunct w:val="0"/>
              <w:autoSpaceDE w:val="0"/>
              <w:autoSpaceDN w:val="0"/>
              <w:bidi w:val="0"/>
              <w:adjustRightInd w:val="0"/>
              <w:snapToGrid w:val="0"/>
              <w:ind w:leftChars="0" w:firstLine="420" w:firstLineChars="200"/>
              <w:jc w:val="both"/>
              <w:rPr>
                <w:rFonts w:hint="eastAsia" w:ascii="仿宋_GB2312" w:hAnsi="仿宋_GB2312" w:eastAsia="仿宋_GB2312" w:cs="仿宋_GB2312"/>
                <w:i w:val="0"/>
                <w:iCs w:val="0"/>
                <w:color w:val="auto"/>
                <w:sz w:val="21"/>
                <w:szCs w:val="21"/>
                <w:highlight w:val="none"/>
              </w:rPr>
            </w:pPr>
            <w:r>
              <w:rPr>
                <w:rFonts w:hint="eastAsia" w:ascii="仿宋_GB2312" w:hAnsi="仿宋_GB2312" w:eastAsia="仿宋_GB2312" w:cs="仿宋_GB2312"/>
                <w:i w:val="0"/>
                <w:iCs w:val="0"/>
                <w:color w:val="auto"/>
                <w:sz w:val="21"/>
                <w:szCs w:val="21"/>
                <w:highlight w:val="none"/>
              </w:rPr>
              <w:t>第</w:t>
            </w:r>
            <w:r>
              <w:rPr>
                <w:rFonts w:hint="eastAsia" w:ascii="仿宋_GB2312" w:hAnsi="仿宋_GB2312" w:eastAsia="仿宋_GB2312" w:cs="仿宋_GB2312"/>
                <w:i w:val="0"/>
                <w:iCs w:val="0"/>
                <w:color w:val="auto"/>
                <w:sz w:val="21"/>
                <w:szCs w:val="21"/>
                <w:highlight w:val="none"/>
                <w:lang w:eastAsia="zh-CN"/>
              </w:rPr>
              <w:t>四十一</w:t>
            </w:r>
            <w:r>
              <w:rPr>
                <w:rFonts w:hint="eastAsia" w:ascii="仿宋_GB2312" w:hAnsi="仿宋_GB2312" w:eastAsia="仿宋_GB2312" w:cs="仿宋_GB2312"/>
                <w:i w:val="0"/>
                <w:iCs w:val="0"/>
                <w:color w:val="auto"/>
                <w:sz w:val="21"/>
                <w:szCs w:val="21"/>
                <w:highlight w:val="none"/>
              </w:rPr>
              <w:t>条 法律援助机构应当自收到法律援助人员提交的结案归档材料之日起三十日内进行审查。对于结案归档材料齐全规范的，应当及时向法律援助人员支付法律援助补贴。</w:t>
            </w:r>
          </w:p>
          <w:p>
            <w:pPr>
              <w:pStyle w:val="10"/>
              <w:keepNext w:val="0"/>
              <w:keepLines w:val="0"/>
              <w:pageBreakBefore w:val="0"/>
              <w:widowControl w:val="0"/>
              <w:numPr>
                <w:ilvl w:val="0"/>
                <w:numId w:val="0"/>
              </w:numPr>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 w:val="21"/>
                <w:szCs w:val="21"/>
                <w:lang w:val="en-US" w:eastAsia="zh-CN"/>
              </w:rPr>
              <w:t>地方性法规</w:t>
            </w: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auto"/>
                <w:sz w:val="21"/>
                <w:szCs w:val="21"/>
              </w:rPr>
              <w:t>《山西省法律援助条例》（</w:t>
            </w:r>
            <w:r>
              <w:rPr>
                <w:rFonts w:hint="eastAsia" w:ascii="仿宋_GB2312" w:hAnsi="仿宋_GB2312" w:eastAsia="仿宋_GB2312" w:cs="仿宋_GB2312"/>
                <w:color w:val="auto"/>
                <w:sz w:val="21"/>
                <w:szCs w:val="21"/>
                <w:lang w:val="en-US" w:eastAsia="zh-CN"/>
              </w:rPr>
              <w:t>2003年公布，</w:t>
            </w:r>
            <w:r>
              <w:rPr>
                <w:rFonts w:hint="eastAsia" w:ascii="仿宋_GB2312" w:hAnsi="仿宋_GB2312" w:eastAsia="仿宋_GB2312" w:cs="仿宋_GB2312"/>
                <w:color w:val="auto"/>
                <w:sz w:val="21"/>
                <w:szCs w:val="21"/>
              </w:rPr>
              <w:t>201</w:t>
            </w:r>
            <w:r>
              <w:rPr>
                <w:rFonts w:hint="eastAsia" w:ascii="仿宋_GB2312" w:hAnsi="仿宋_GB2312" w:eastAsia="仿宋_GB2312" w:cs="仿宋_GB2312"/>
                <w:color w:val="auto"/>
                <w:sz w:val="21"/>
                <w:szCs w:val="21"/>
                <w:lang w:val="en-US" w:eastAsia="zh-CN"/>
              </w:rPr>
              <w:t>5</w:t>
            </w:r>
            <w:r>
              <w:rPr>
                <w:rFonts w:hint="eastAsia" w:ascii="仿宋_GB2312" w:hAnsi="仿宋_GB2312" w:eastAsia="仿宋_GB2312" w:cs="仿宋_GB2312"/>
                <w:color w:val="auto"/>
                <w:sz w:val="21"/>
                <w:szCs w:val="21"/>
              </w:rPr>
              <w:t>年</w:t>
            </w:r>
            <w:r>
              <w:rPr>
                <w:rFonts w:hint="eastAsia" w:ascii="仿宋_GB2312" w:hAnsi="仿宋_GB2312" w:eastAsia="仿宋_GB2312" w:cs="仿宋_GB2312"/>
                <w:color w:val="auto"/>
                <w:sz w:val="21"/>
                <w:szCs w:val="21"/>
                <w:lang w:eastAsia="zh-CN"/>
              </w:rPr>
              <w:t>修订</w:t>
            </w:r>
            <w:r>
              <w:rPr>
                <w:rFonts w:hint="eastAsia" w:ascii="仿宋_GB2312" w:hAnsi="仿宋_GB2312" w:eastAsia="仿宋_GB2312" w:cs="仿宋_GB2312"/>
                <w:color w:val="auto"/>
                <w:sz w:val="21"/>
                <w:szCs w:val="21"/>
              </w:rPr>
              <w:t>）</w:t>
            </w:r>
          </w:p>
          <w:p>
            <w:pPr>
              <w:pStyle w:val="10"/>
              <w:keepNext w:val="0"/>
              <w:keepLines w:val="0"/>
              <w:pageBreakBefore w:val="0"/>
              <w:widowControl w:val="0"/>
              <w:numPr>
                <w:ilvl w:val="0"/>
                <w:numId w:val="0"/>
              </w:numPr>
              <w:kinsoku/>
              <w:wordWrap/>
              <w:overflowPunct w:val="0"/>
              <w:topLinePunct w:val="0"/>
              <w:autoSpaceDE w:val="0"/>
              <w:autoSpaceDN w:val="0"/>
              <w:bidi w:val="0"/>
              <w:adjustRightInd w:val="0"/>
              <w:snapToGrid w:val="0"/>
              <w:ind w:leftChars="0" w:firstLine="420" w:firstLineChars="200"/>
              <w:jc w:val="both"/>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rPr>
              <w:t>第三十</w:t>
            </w:r>
            <w:r>
              <w:rPr>
                <w:rFonts w:hint="eastAsia" w:ascii="仿宋_GB2312" w:hAnsi="仿宋_GB2312" w:eastAsia="仿宋_GB2312" w:cs="仿宋_GB2312"/>
                <w:color w:val="auto"/>
                <w:sz w:val="21"/>
                <w:szCs w:val="21"/>
                <w:lang w:eastAsia="zh-CN"/>
              </w:rPr>
              <w:t>二</w:t>
            </w:r>
            <w:r>
              <w:rPr>
                <w:rFonts w:hint="eastAsia" w:ascii="仿宋_GB2312" w:hAnsi="仿宋_GB2312" w:eastAsia="仿宋_GB2312" w:cs="仿宋_GB2312"/>
                <w:color w:val="auto"/>
                <w:sz w:val="21"/>
                <w:szCs w:val="21"/>
              </w:rPr>
              <w:t>条 法律援助案件办理结束后三十日内，法律援助人员应当向法律援助机构及时提交有关法律文书副本或者复印件、结案报告等材料。法律援助机构收到材料后应当进行审查，符合条件的，在同意结案后三十日内按照有关标准向法律援助人员支付办案补贴。</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default" w:ascii="仿宋_GB2312" w:hAnsi="仿宋_GB2312" w:eastAsia="仿宋_GB2312" w:cs="仿宋_GB2312"/>
                <w:color w:val="auto"/>
                <w:sz w:val="21"/>
                <w:szCs w:val="21"/>
                <w:lang w:val="en-US"/>
              </w:rPr>
            </w:pPr>
            <w:r>
              <w:rPr>
                <w:rFonts w:hint="eastAsia" w:ascii="仿宋_GB2312" w:hAnsi="仿宋_GB2312" w:eastAsia="仿宋_GB2312" w:cs="仿宋_GB2312"/>
                <w:color w:val="auto"/>
                <w:sz w:val="21"/>
                <w:szCs w:val="21"/>
                <w:lang w:val="en-US" w:eastAsia="zh-CN"/>
              </w:rPr>
              <w:t>法律援助中心</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7"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default" w:ascii="仿宋_GB2312" w:hAnsi="仿宋_GB2312" w:eastAsia="仿宋_GB2312" w:cs="仿宋_GB2312"/>
                <w:color w:val="000000"/>
                <w:kern w:val="0"/>
                <w:szCs w:val="21"/>
                <w:lang w:val="en-US" w:eastAsia="zh-CN"/>
              </w:rPr>
            </w:pPr>
            <w:r>
              <w:rPr>
                <w:rFonts w:hint="eastAsia" w:ascii="仿宋_GB2312" w:hAnsi="仿宋_GB2312" w:eastAsia="仿宋_GB2312" w:cs="仿宋_GB2312"/>
                <w:color w:val="000000"/>
                <w:kern w:val="0"/>
                <w:szCs w:val="21"/>
                <w:lang w:val="en-US" w:eastAsia="zh-CN"/>
              </w:rPr>
              <w:t>10</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对律师事务所的行政检查</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行政检查</w:t>
            </w:r>
          </w:p>
        </w:tc>
        <w:tc>
          <w:tcPr>
            <w:tcW w:w="6319" w:type="dxa"/>
            <w:vAlign w:val="center"/>
          </w:tcPr>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【法律】《中华人民共和国律师法》（</w:t>
            </w:r>
            <w:r>
              <w:rPr>
                <w:rFonts w:hint="eastAsia" w:ascii="仿宋_GB2312" w:hAnsi="仿宋_GB2312" w:eastAsia="仿宋_GB2312" w:cs="仿宋_GB2312"/>
                <w:color w:val="000000" w:themeColor="text1"/>
                <w:kern w:val="0"/>
                <w:szCs w:val="21"/>
                <w:lang w:val="en-US" w:eastAsia="zh-CN"/>
                <w14:textFill>
                  <w14:solidFill>
                    <w14:schemeClr w14:val="tx1"/>
                  </w14:solidFill>
                </w14:textFill>
              </w:rPr>
              <w:t>1996年</w:t>
            </w:r>
            <w:r>
              <w:rPr>
                <w:rFonts w:hint="eastAsia" w:ascii="仿宋_GB2312" w:hAnsi="仿宋_GB2312" w:eastAsia="仿宋_GB2312" w:cs="仿宋_GB2312"/>
                <w:color w:val="000000"/>
                <w:kern w:val="0"/>
                <w:szCs w:val="21"/>
              </w:rPr>
              <w:t>主席令第6</w:t>
            </w:r>
            <w:r>
              <w:rPr>
                <w:rFonts w:hint="eastAsia" w:ascii="仿宋_GB2312" w:hAnsi="仿宋_GB2312" w:eastAsia="仿宋_GB2312" w:cs="仿宋_GB2312"/>
                <w:color w:val="000000"/>
                <w:kern w:val="0"/>
                <w:szCs w:val="21"/>
                <w:lang w:val="en-US" w:eastAsia="zh-CN"/>
              </w:rPr>
              <w:t>7</w:t>
            </w:r>
            <w:r>
              <w:rPr>
                <w:rFonts w:hint="eastAsia" w:ascii="仿宋_GB2312" w:hAnsi="仿宋_GB2312" w:eastAsia="仿宋_GB2312" w:cs="仿宋_GB2312"/>
                <w:color w:val="000000"/>
                <w:kern w:val="0"/>
                <w:szCs w:val="21"/>
              </w:rPr>
              <w:t>号</w:t>
            </w:r>
            <w:r>
              <w:rPr>
                <w:rFonts w:hint="eastAsia" w:ascii="仿宋_GB2312" w:hAnsi="仿宋_GB2312" w:eastAsia="仿宋_GB2312" w:cs="仿宋_GB2312"/>
                <w:color w:val="000000"/>
                <w:kern w:val="0"/>
                <w:szCs w:val="21"/>
                <w:lang w:eastAsia="zh-CN"/>
              </w:rPr>
              <w:t>公布，</w:t>
            </w:r>
            <w:r>
              <w:rPr>
                <w:rFonts w:hint="eastAsia" w:ascii="仿宋_GB2312" w:hAnsi="仿宋_GB2312" w:eastAsia="仿宋_GB2312" w:cs="仿宋_GB2312"/>
                <w:color w:val="000000"/>
                <w:kern w:val="0"/>
                <w:szCs w:val="21"/>
                <w:lang w:val="en-US" w:eastAsia="zh-CN"/>
              </w:rPr>
              <w:t>2017年修正</w:t>
            </w:r>
            <w:r>
              <w:rPr>
                <w:rFonts w:hint="eastAsia" w:ascii="仿宋_GB2312" w:hAnsi="仿宋_GB2312" w:eastAsia="仿宋_GB2312" w:cs="仿宋_GB2312"/>
                <w:color w:val="000000"/>
                <w:kern w:val="0"/>
                <w:szCs w:val="21"/>
              </w:rPr>
              <w:t>）</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第四条 司法行政部门依照本法对律师、律师事务所和律师协会进行监督、指导。</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第五十二条</w:t>
            </w:r>
            <w:r>
              <w:rPr>
                <w:rFonts w:hint="eastAsia" w:ascii="仿宋_GB2312" w:hAnsi="仿宋_GB2312" w:eastAsia="仿宋_GB2312" w:cs="仿宋_GB2312"/>
                <w:color w:val="000000"/>
                <w:kern w:val="0"/>
                <w:szCs w:val="21"/>
                <w:lang w:val="en-US" w:eastAsia="zh-CN"/>
              </w:rPr>
              <w:t xml:space="preserve"> </w:t>
            </w:r>
            <w:r>
              <w:rPr>
                <w:rFonts w:hint="eastAsia" w:ascii="仿宋_GB2312" w:hAnsi="仿宋_GB2312" w:eastAsia="仿宋_GB2312" w:cs="仿宋_GB2312"/>
                <w:color w:val="000000"/>
                <w:kern w:val="0"/>
                <w:szCs w:val="21"/>
              </w:rPr>
              <w:t>县级人民政府司法行政部门对律师和律师事务所的执业活动实施日常监督管理，对检查发现的问题，责令改正；对当事人的投诉，应当及时进行调查。县级人民政府司法行政部门认为律师和律师事务所的违法行为应当给予行政处罚的，应当向上级司法行政部门提出处罚建议。</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【部门规章】《律师事务所管理办法》（司法部令第111号发布，2018年修正）</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第六十四条　县级司法行政机关对本行政区域内的律师事务所的执业活动进行日常监督管理，履行下列职责：</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（一）监督律师事务所在开展业务活动过程中遵守法律、法规、规章的情况；</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（二）监督律师事务所执业和内部管理制度的建立和实施情况；</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（三）监督律师事务所保持法定设立条件以及变更报批或者备案的执行情况；</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（四）监督律师事务所进行清算、申请注销的情况；</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（五）监督律师事务所开展律师执业年度考核和上报年度执业总结的情况；</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（六）受理对律师事务所的举报和投诉；</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（七）监督律师事务所履行行政处罚和实行整改的情况；</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（八）司法部和省、自治区、直辖市司法行政机关规定的其他职责。</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县级司法行政机关在开展日常监督管理过程中，对发现、查实的律师事务所在执业和内部管理方面存在的问题，应当对律师事务所负责人或者有关律师进行警示谈话，责令改正，并对其整改情况进行监督；对律师事务所的违法行为认为依法应当给予行政处罚的，应当向上一级司法行政机关提出处罚建议；认为需要给予行业惩戒的，移送律师协会处理。</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公证律师管理股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7"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val="en-US" w:eastAsia="zh-CN"/>
              </w:rPr>
            </w:pPr>
            <w:r>
              <w:rPr>
                <w:rFonts w:hint="eastAsia" w:ascii="仿宋_GB2312" w:hAnsi="仿宋_GB2312" w:eastAsia="仿宋_GB2312" w:cs="仿宋_GB2312"/>
                <w:color w:val="000000"/>
                <w:kern w:val="0"/>
                <w:szCs w:val="21"/>
                <w:lang w:val="en-US" w:eastAsia="zh-CN"/>
              </w:rPr>
              <w:t>11</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eastAsia="zh-CN"/>
              </w:rPr>
              <w:t>对律师的行政检查</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行政检查</w:t>
            </w:r>
          </w:p>
        </w:tc>
        <w:tc>
          <w:tcPr>
            <w:tcW w:w="6319" w:type="dxa"/>
            <w:vAlign w:val="center"/>
          </w:tcPr>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【法律】《中华人民共和国律师法》（</w:t>
            </w:r>
            <w:r>
              <w:rPr>
                <w:rFonts w:hint="eastAsia" w:ascii="仿宋_GB2312" w:hAnsi="仿宋_GB2312" w:eastAsia="仿宋_GB2312" w:cs="仿宋_GB2312"/>
                <w:color w:val="000000" w:themeColor="text1"/>
                <w:kern w:val="0"/>
                <w:szCs w:val="21"/>
                <w:lang w:val="en-US" w:eastAsia="zh-CN"/>
                <w14:textFill>
                  <w14:solidFill>
                    <w14:schemeClr w14:val="tx1"/>
                  </w14:solidFill>
                </w14:textFill>
              </w:rPr>
              <w:t>1996年</w:t>
            </w:r>
            <w:r>
              <w:rPr>
                <w:rFonts w:hint="eastAsia" w:ascii="仿宋_GB2312" w:hAnsi="仿宋_GB2312" w:eastAsia="仿宋_GB2312" w:cs="仿宋_GB2312"/>
                <w:color w:val="000000"/>
                <w:kern w:val="0"/>
                <w:szCs w:val="21"/>
              </w:rPr>
              <w:t>主席令第6</w:t>
            </w:r>
            <w:r>
              <w:rPr>
                <w:rFonts w:hint="eastAsia" w:ascii="仿宋_GB2312" w:hAnsi="仿宋_GB2312" w:eastAsia="仿宋_GB2312" w:cs="仿宋_GB2312"/>
                <w:color w:val="000000"/>
                <w:kern w:val="0"/>
                <w:szCs w:val="21"/>
                <w:lang w:val="en-US" w:eastAsia="zh-CN"/>
              </w:rPr>
              <w:t>7</w:t>
            </w:r>
            <w:r>
              <w:rPr>
                <w:rFonts w:hint="eastAsia" w:ascii="仿宋_GB2312" w:hAnsi="仿宋_GB2312" w:eastAsia="仿宋_GB2312" w:cs="仿宋_GB2312"/>
                <w:color w:val="000000"/>
                <w:kern w:val="0"/>
                <w:szCs w:val="21"/>
              </w:rPr>
              <w:t>号</w:t>
            </w:r>
            <w:r>
              <w:rPr>
                <w:rFonts w:hint="eastAsia" w:ascii="仿宋_GB2312" w:hAnsi="仿宋_GB2312" w:eastAsia="仿宋_GB2312" w:cs="仿宋_GB2312"/>
                <w:color w:val="000000"/>
                <w:kern w:val="0"/>
                <w:szCs w:val="21"/>
                <w:lang w:eastAsia="zh-CN"/>
              </w:rPr>
              <w:t>公布，</w:t>
            </w:r>
            <w:r>
              <w:rPr>
                <w:rFonts w:hint="eastAsia" w:ascii="仿宋_GB2312" w:hAnsi="仿宋_GB2312" w:eastAsia="仿宋_GB2312" w:cs="仿宋_GB2312"/>
                <w:color w:val="000000"/>
                <w:kern w:val="0"/>
                <w:szCs w:val="21"/>
                <w:lang w:val="en-US" w:eastAsia="zh-CN"/>
              </w:rPr>
              <w:t>2017年修正</w:t>
            </w:r>
            <w:r>
              <w:rPr>
                <w:rFonts w:hint="eastAsia" w:ascii="仿宋_GB2312" w:hAnsi="仿宋_GB2312" w:eastAsia="仿宋_GB2312" w:cs="仿宋_GB2312"/>
                <w:color w:val="000000"/>
                <w:kern w:val="0"/>
                <w:szCs w:val="21"/>
              </w:rPr>
              <w:t>）</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第四条 司法行政部门依照本法对律师、律师事务所和律师协会进行监督、指导。</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第五十二条</w:t>
            </w:r>
            <w:r>
              <w:rPr>
                <w:rFonts w:hint="eastAsia" w:ascii="仿宋_GB2312" w:hAnsi="仿宋_GB2312" w:eastAsia="仿宋_GB2312" w:cs="仿宋_GB2312"/>
                <w:color w:val="000000"/>
                <w:kern w:val="0"/>
                <w:szCs w:val="21"/>
                <w:lang w:val="en-US" w:eastAsia="zh-CN"/>
              </w:rPr>
              <w:t xml:space="preserve"> </w:t>
            </w:r>
            <w:r>
              <w:rPr>
                <w:rFonts w:hint="eastAsia" w:ascii="仿宋_GB2312" w:hAnsi="仿宋_GB2312" w:eastAsia="仿宋_GB2312" w:cs="仿宋_GB2312"/>
                <w:color w:val="000000"/>
                <w:kern w:val="0"/>
                <w:szCs w:val="21"/>
              </w:rPr>
              <w:t>县级人民政府司法行政部门对律师和律师事务所的执业活动实施日常监督管理，对检查发现的问题，责令改正；对当事人的投诉，应当及时进行调查。县级人民政府司法行政部门认为律师和律师事务所的违法行为应当给予行政处罚的，应当向上级司法行政部门提出处罚建议。</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【部门规章】《律师执业管理办法》（</w:t>
            </w:r>
            <w:r>
              <w:rPr>
                <w:rFonts w:hint="eastAsia" w:ascii="仿宋_GB2312" w:hAnsi="仿宋_GB2312" w:eastAsia="仿宋_GB2312" w:cs="仿宋_GB2312"/>
                <w:color w:val="000000"/>
                <w:kern w:val="0"/>
                <w:szCs w:val="21"/>
                <w:lang w:val="en-US" w:eastAsia="zh-CN"/>
              </w:rPr>
              <w:t>2008年</w:t>
            </w:r>
            <w:r>
              <w:rPr>
                <w:rFonts w:hint="eastAsia" w:ascii="仿宋_GB2312" w:hAnsi="仿宋_GB2312" w:eastAsia="仿宋_GB2312" w:cs="仿宋_GB2312"/>
                <w:color w:val="000000"/>
                <w:kern w:val="0"/>
                <w:szCs w:val="21"/>
              </w:rPr>
              <w:t>司法部令第112号发布</w:t>
            </w:r>
            <w:r>
              <w:rPr>
                <w:rFonts w:hint="eastAsia" w:ascii="仿宋_GB2312" w:hAnsi="仿宋_GB2312" w:eastAsia="仿宋_GB2312" w:cs="仿宋_GB2312"/>
                <w:color w:val="000000"/>
                <w:kern w:val="0"/>
                <w:szCs w:val="21"/>
                <w:lang w:eastAsia="zh-CN"/>
              </w:rPr>
              <w:t>，</w:t>
            </w:r>
            <w:r>
              <w:rPr>
                <w:rFonts w:hint="eastAsia" w:ascii="仿宋_GB2312" w:hAnsi="仿宋_GB2312" w:eastAsia="仿宋_GB2312" w:cs="仿宋_GB2312"/>
                <w:color w:val="000000"/>
                <w:kern w:val="0"/>
                <w:szCs w:val="21"/>
              </w:rPr>
              <w:t>2016年司法部令第134号修订）</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第五十条　县级司法行政机关对其执业机构在本行政区域的律师的执业活动进行日常监督管理，履行下列职责：</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（一）检查、监督律师在执业活动中遵守法律、法规、规章和职业道德、执业纪律的情况；</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（二）受理对律师的举报和投诉；</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（三）监督律师履行行政处罚和实行整改的情况；</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（四）掌握律师事务所对律师执业年度考核的情况；</w:t>
            </w:r>
          </w:p>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（五）司法部和省、自治区、直辖市司法行政机关规定的其他职责。</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县级司法行政机关在开展日常监督管理过程中，发现、查实律师在执业活动中存在问题的，应当对其进行警示谈话，责令改正，并对其整改情况进行监督；对律师的违法行为认为依法应当给予行政处罚的，应当向上一级司法行政机关提出处罚建议；认为需要给予行业惩戒的，移送律师协会处理。</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县司法局</w:t>
            </w:r>
            <w:bookmarkStart w:id="0" w:name="_GoBack"/>
            <w:bookmarkEnd w:id="0"/>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公证律师管理股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7"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color w:val="000000"/>
                <w:kern w:val="0"/>
                <w:szCs w:val="21"/>
                <w:lang w:val="en-US" w:eastAsia="zh-CN"/>
              </w:rPr>
              <w:t>12</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en-US" w:bidi="ar-SA"/>
              </w:rPr>
            </w:pPr>
            <w:r>
              <w:rPr>
                <w:rFonts w:hint="eastAsia" w:ascii="仿宋_GB2312" w:hAnsi="仿宋_GB2312" w:eastAsia="仿宋_GB2312" w:cs="仿宋_GB2312"/>
                <w:color w:val="000000"/>
                <w:kern w:val="0"/>
                <w:szCs w:val="21"/>
              </w:rPr>
              <w:t>对基层法律服务所日常执业和内部管理情况的行政检查</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color w:val="000000"/>
                <w:kern w:val="0"/>
                <w:szCs w:val="21"/>
                <w:lang w:eastAsia="zh-CN"/>
              </w:rPr>
              <w:t>行政检查</w:t>
            </w:r>
          </w:p>
        </w:tc>
        <w:tc>
          <w:tcPr>
            <w:tcW w:w="6319" w:type="dxa"/>
            <w:vAlign w:val="center"/>
          </w:tcPr>
          <w:p>
            <w:pPr>
              <w:keepNext w:val="0"/>
              <w:keepLines w:val="0"/>
              <w:pageBreakBefore w:val="0"/>
              <w:widowControl w:val="0"/>
              <w:kinsoku/>
              <w:wordWrap/>
              <w:overflowPunct w:val="0"/>
              <w:topLinePunct w:val="0"/>
              <w:autoSpaceDE w:val="0"/>
              <w:autoSpaceDN w:val="0"/>
              <w:bidi w:val="0"/>
              <w:adjustRightInd w:val="0"/>
              <w:snapToGrid w:val="0"/>
              <w:ind w:firstLine="420" w:firstLineChars="200"/>
              <w:jc w:val="both"/>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【部门规章】《基层法律服务所管理办法》（2000年3月30日司法部令第59号公布，根据2017年12月25日司法部令第137号修订）</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snapToGrid w:val="0"/>
                <w:color w:val="000000"/>
                <w:kern w:val="0"/>
                <w:sz w:val="21"/>
                <w:szCs w:val="21"/>
                <w:lang w:val="en-US" w:eastAsia="en-US" w:bidi="ar-SA"/>
              </w:rPr>
            </w:pPr>
            <w:r>
              <w:rPr>
                <w:rFonts w:hint="eastAsia" w:ascii="仿宋_GB2312" w:hAnsi="仿宋_GB2312" w:eastAsia="仿宋_GB2312" w:cs="仿宋_GB2312"/>
                <w:color w:val="000000"/>
                <w:kern w:val="0"/>
                <w:szCs w:val="21"/>
              </w:rPr>
              <w:t>第三十四条 县级司法行政机关或者直辖市的区（县）司法行政机关对基层法律服务所的日常执业活动和内部管理工作进行指导和监督，可以按照有关规定对基层法律服务所进行检查，要求基层法律服务所报告工作、说明情况、提交有关材料。司法所可以根据县级司法行政机关或者直辖市的区（县）司法行政机关要求，承担对基层法律服务所进行指导监督的具体工作。</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color w:val="000000"/>
                <w:kern w:val="0"/>
                <w:szCs w:val="21"/>
                <w:lang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color w:val="000000"/>
                <w:kern w:val="0"/>
                <w:szCs w:val="21"/>
                <w:lang w:eastAsia="zh-CN"/>
              </w:rPr>
              <w:t>公证律师管理股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87"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color w:val="000000"/>
                <w:kern w:val="0"/>
                <w:szCs w:val="21"/>
                <w:lang w:val="en-US" w:eastAsia="zh-CN"/>
              </w:rPr>
              <w:t>13</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en-US" w:bidi="ar-SA"/>
              </w:rPr>
            </w:pPr>
            <w:r>
              <w:rPr>
                <w:rFonts w:hint="eastAsia" w:ascii="仿宋_GB2312" w:hAnsi="仿宋_GB2312" w:eastAsia="仿宋_GB2312" w:cs="仿宋_GB2312"/>
                <w:color w:val="000000"/>
                <w:kern w:val="0"/>
                <w:szCs w:val="21"/>
              </w:rPr>
              <w:t>对基层法律服务工作者执业情况的行政检查</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color w:val="000000"/>
                <w:kern w:val="0"/>
                <w:szCs w:val="21"/>
                <w:lang w:eastAsia="zh-CN"/>
              </w:rPr>
              <w:t>行政检查</w:t>
            </w:r>
          </w:p>
        </w:tc>
        <w:tc>
          <w:tcPr>
            <w:tcW w:w="6319" w:type="dxa"/>
            <w:vAlign w:val="center"/>
          </w:tcPr>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【部门规章】《基层法律服务工作者管理办法》（2000年3月30日中华人民共和国司法部令第60号发布</w:t>
            </w:r>
            <w:r>
              <w:rPr>
                <w:rFonts w:hint="eastAsia" w:ascii="仿宋_GB2312" w:hAnsi="仿宋_GB2312" w:eastAsia="仿宋_GB2312" w:cs="仿宋_GB2312"/>
                <w:color w:val="000000"/>
                <w:kern w:val="0"/>
                <w:szCs w:val="21"/>
                <w:lang w:eastAsia="zh-CN"/>
              </w:rPr>
              <w:t>，</w:t>
            </w:r>
            <w:r>
              <w:rPr>
                <w:rFonts w:hint="eastAsia" w:ascii="仿宋_GB2312" w:hAnsi="仿宋_GB2312" w:eastAsia="仿宋_GB2312" w:cs="仿宋_GB2312"/>
                <w:color w:val="000000"/>
                <w:kern w:val="0"/>
                <w:szCs w:val="21"/>
              </w:rPr>
              <w:t>根据2017年12月25日中华人民共和国司法部令第138号修订）</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snapToGrid w:val="0"/>
                <w:color w:val="000000"/>
                <w:kern w:val="0"/>
                <w:sz w:val="21"/>
                <w:szCs w:val="21"/>
                <w:lang w:val="en-US" w:eastAsia="en-US" w:bidi="ar-SA"/>
              </w:rPr>
            </w:pPr>
            <w:r>
              <w:rPr>
                <w:rFonts w:hint="eastAsia" w:ascii="仿宋_GB2312" w:hAnsi="仿宋_GB2312" w:eastAsia="仿宋_GB2312" w:cs="仿宋_GB2312"/>
                <w:color w:val="000000"/>
                <w:kern w:val="0"/>
                <w:szCs w:val="21"/>
              </w:rPr>
              <w:t>第四十四条</w:t>
            </w:r>
            <w:r>
              <w:rPr>
                <w:rFonts w:hint="eastAsia" w:ascii="仿宋_GB2312" w:hAnsi="仿宋_GB2312" w:eastAsia="仿宋_GB2312" w:cs="仿宋_GB2312"/>
                <w:color w:val="000000"/>
                <w:kern w:val="0"/>
                <w:szCs w:val="21"/>
                <w:lang w:val="en-US" w:eastAsia="zh-CN"/>
              </w:rPr>
              <w:t xml:space="preserve"> </w:t>
            </w:r>
            <w:r>
              <w:rPr>
                <w:rFonts w:hint="eastAsia" w:ascii="仿宋_GB2312" w:hAnsi="仿宋_GB2312" w:eastAsia="仿宋_GB2312" w:cs="仿宋_GB2312"/>
                <w:color w:val="000000"/>
                <w:kern w:val="0"/>
                <w:szCs w:val="21"/>
              </w:rPr>
              <w:t>县级司法行政机关或者直辖市的区（县）司法行政机关对基层法律服务工作者的日常执业活动和遵守职业道德、执业纪律的情况进行指导和监督，可以按照有关规定对基层法律服务工作者的执业情况进行检查，要求有关人员报告工作、说明情况、提交有关材料。司法所可以根据县级司法行政机关或者直辖市的区（县）司法行政机关要求，承担对基层法律服务工作者进行指导监督的具体工作。</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color w:val="000000"/>
                <w:kern w:val="0"/>
                <w:szCs w:val="21"/>
                <w:lang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color w:val="000000"/>
                <w:kern w:val="0"/>
                <w:szCs w:val="21"/>
                <w:lang w:eastAsia="zh-CN"/>
              </w:rPr>
              <w:t>公证律师管理股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7"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val="en-US" w:eastAsia="zh-CN"/>
              </w:rPr>
            </w:pPr>
            <w:r>
              <w:rPr>
                <w:rFonts w:hint="eastAsia" w:ascii="仿宋_GB2312" w:hAnsi="仿宋_GB2312" w:eastAsia="仿宋_GB2312" w:cs="仿宋_GB2312"/>
                <w:color w:val="000000"/>
                <w:kern w:val="0"/>
                <w:szCs w:val="21"/>
                <w:lang w:val="en-US" w:eastAsia="zh-CN"/>
              </w:rPr>
              <w:t>14</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对基层法律服务所、基层法律服务工作者进行表彰奖励</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行政奖励</w:t>
            </w:r>
          </w:p>
        </w:tc>
        <w:tc>
          <w:tcPr>
            <w:tcW w:w="6319" w:type="dxa"/>
            <w:vAlign w:val="center"/>
          </w:tcPr>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 w:val="21"/>
                <w:szCs w:val="21"/>
                <w:lang w:val="en-US" w:eastAsia="zh-CN"/>
              </w:rPr>
              <w:t>部门规章</w:t>
            </w: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Cs w:val="21"/>
              </w:rPr>
              <w:t>《基层法律服务所管理办法》</w:t>
            </w:r>
            <w:r>
              <w:rPr>
                <w:rFonts w:hint="eastAsia" w:ascii="仿宋_GB2312" w:hAnsi="仿宋_GB2312" w:eastAsia="仿宋_GB2312" w:cs="仿宋_GB2312"/>
                <w:color w:val="000000"/>
                <w:kern w:val="0"/>
                <w:szCs w:val="21"/>
                <w:lang w:eastAsia="zh-CN"/>
              </w:rPr>
              <w:t>（</w:t>
            </w:r>
            <w:r>
              <w:rPr>
                <w:rFonts w:hint="eastAsia" w:ascii="仿宋_GB2312" w:hAnsi="仿宋_GB2312" w:eastAsia="仿宋_GB2312" w:cs="仿宋_GB2312"/>
                <w:color w:val="000000"/>
                <w:kern w:val="0"/>
                <w:szCs w:val="21"/>
              </w:rPr>
              <w:t>2000年3月30日司法部令第59号公布，根据2017年12月25日司法部令第137号修订</w:t>
            </w:r>
            <w:r>
              <w:rPr>
                <w:rFonts w:hint="eastAsia" w:ascii="仿宋_GB2312" w:hAnsi="仿宋_GB2312" w:eastAsia="仿宋_GB2312" w:cs="仿宋_GB2312"/>
                <w:color w:val="000000"/>
                <w:kern w:val="0"/>
                <w:szCs w:val="21"/>
                <w:lang w:eastAsia="zh-CN"/>
              </w:rPr>
              <w:t>）</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第三十五条</w:t>
            </w:r>
            <w:r>
              <w:rPr>
                <w:rFonts w:hint="eastAsia" w:ascii="仿宋_GB2312" w:hAnsi="仿宋_GB2312" w:eastAsia="仿宋_GB2312" w:cs="仿宋_GB2312"/>
                <w:color w:val="000000"/>
                <w:kern w:val="0"/>
                <w:szCs w:val="21"/>
                <w:lang w:val="en-US" w:eastAsia="zh-CN"/>
              </w:rPr>
              <w:t xml:space="preserve"> </w:t>
            </w:r>
            <w:r>
              <w:rPr>
                <w:rFonts w:hint="eastAsia" w:ascii="仿宋_GB2312" w:hAnsi="仿宋_GB2312" w:eastAsia="仿宋_GB2312" w:cs="仿宋_GB2312"/>
                <w:color w:val="000000"/>
                <w:kern w:val="0"/>
                <w:szCs w:val="21"/>
              </w:rPr>
              <w:t>司法行政机关对工作成绩显著、队伍建设良好、管理制度完善的基层法律服务所，按照有关规定给予表彰奖励。</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 w:val="21"/>
                <w:szCs w:val="21"/>
                <w:lang w:val="en-US" w:eastAsia="zh-CN"/>
              </w:rPr>
              <w:t>部门规章</w:t>
            </w: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Cs w:val="21"/>
              </w:rPr>
              <w:t>《基层法律服务工作者管理办法》（2000年3月30日中华人民共和国司法部令第60号发布</w:t>
            </w:r>
            <w:r>
              <w:rPr>
                <w:rFonts w:hint="eastAsia" w:ascii="仿宋_GB2312" w:hAnsi="仿宋_GB2312" w:eastAsia="仿宋_GB2312" w:cs="仿宋_GB2312"/>
                <w:color w:val="000000"/>
                <w:kern w:val="0"/>
                <w:szCs w:val="21"/>
                <w:lang w:eastAsia="zh-CN"/>
              </w:rPr>
              <w:t>，</w:t>
            </w:r>
            <w:r>
              <w:rPr>
                <w:rFonts w:hint="eastAsia" w:ascii="仿宋_GB2312" w:hAnsi="仿宋_GB2312" w:eastAsia="仿宋_GB2312" w:cs="仿宋_GB2312"/>
                <w:color w:val="000000"/>
                <w:kern w:val="0"/>
                <w:szCs w:val="21"/>
              </w:rPr>
              <w:t>根据2017年12月25日中华人民共和国司法部令第138号修订）</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第四十五条</w:t>
            </w:r>
            <w:r>
              <w:rPr>
                <w:rFonts w:hint="eastAsia" w:ascii="仿宋_GB2312" w:hAnsi="仿宋_GB2312" w:eastAsia="仿宋_GB2312" w:cs="仿宋_GB2312"/>
                <w:color w:val="000000"/>
                <w:kern w:val="0"/>
                <w:szCs w:val="21"/>
                <w:lang w:val="en-US" w:eastAsia="zh-CN"/>
              </w:rPr>
              <w:t xml:space="preserve"> </w:t>
            </w:r>
            <w:r>
              <w:rPr>
                <w:rFonts w:hint="eastAsia" w:ascii="仿宋_GB2312" w:hAnsi="仿宋_GB2312" w:eastAsia="仿宋_GB2312" w:cs="仿宋_GB2312"/>
                <w:color w:val="000000"/>
                <w:kern w:val="0"/>
                <w:szCs w:val="21"/>
              </w:rPr>
              <w:t>司法行政机关对有突出事迹或者显著贡献的基层法律服务工作者，按照有关规定给予表彰奖励。</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公证律师管理股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7"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val="en-US" w:eastAsia="zh-CN"/>
              </w:rPr>
            </w:pPr>
            <w:r>
              <w:rPr>
                <w:rFonts w:hint="eastAsia" w:ascii="仿宋_GB2312" w:hAnsi="仿宋_GB2312" w:eastAsia="仿宋_GB2312" w:cs="仿宋_GB2312"/>
                <w:color w:val="000000"/>
                <w:kern w:val="0"/>
                <w:szCs w:val="21"/>
                <w:lang w:val="en-US" w:eastAsia="zh-CN"/>
              </w:rPr>
              <w:t>15</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对律师事务所、律师进行表彰奖励</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行政奖励</w:t>
            </w:r>
          </w:p>
        </w:tc>
        <w:tc>
          <w:tcPr>
            <w:tcW w:w="6319" w:type="dxa"/>
            <w:vAlign w:val="center"/>
          </w:tcPr>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 w:val="21"/>
                <w:szCs w:val="21"/>
                <w:lang w:val="en-US" w:eastAsia="zh-CN"/>
              </w:rPr>
              <w:t>部门规章</w:t>
            </w: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Cs w:val="21"/>
              </w:rPr>
              <w:t>《律师事务所管理办法》（司法部令第111号发布，2018年修正）</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第六条 司法行政机关、律师协会应当建立健全律师事务所表彰奖励制度，根据有关规定设立综合性和单项表彰项目，对为维护人民群众合法权益、促进经济社会发展和国家法治建设作出突出贡献的律师事务所进行表彰奖励。</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w:t>
            </w:r>
            <w:r>
              <w:rPr>
                <w:rFonts w:hint="eastAsia" w:ascii="仿宋_GB2312" w:hAnsi="仿宋_GB2312" w:eastAsia="仿宋_GB2312" w:cs="仿宋_GB2312"/>
                <w:color w:val="000000"/>
                <w:kern w:val="0"/>
                <w:szCs w:val="21"/>
                <w:lang w:eastAsia="zh-CN"/>
              </w:rPr>
              <w:t>部门</w:t>
            </w:r>
            <w:r>
              <w:rPr>
                <w:rFonts w:hint="eastAsia" w:ascii="仿宋_GB2312" w:hAnsi="仿宋_GB2312" w:eastAsia="仿宋_GB2312" w:cs="仿宋_GB2312"/>
                <w:color w:val="000000"/>
                <w:kern w:val="0"/>
                <w:szCs w:val="21"/>
              </w:rPr>
              <w:t>规章】《律师执业管理办法》（2008年7月18日司法部令第112号发布</w:t>
            </w:r>
            <w:r>
              <w:rPr>
                <w:rFonts w:hint="eastAsia" w:ascii="仿宋_GB2312" w:hAnsi="仿宋_GB2312" w:eastAsia="仿宋_GB2312" w:cs="仿宋_GB2312"/>
                <w:color w:val="000000"/>
                <w:kern w:val="0"/>
                <w:szCs w:val="21"/>
                <w:lang w:eastAsia="zh-CN"/>
              </w:rPr>
              <w:t>，</w:t>
            </w:r>
            <w:r>
              <w:rPr>
                <w:rFonts w:hint="eastAsia" w:ascii="仿宋_GB2312" w:hAnsi="仿宋_GB2312" w:eastAsia="仿宋_GB2312" w:cs="仿宋_GB2312"/>
                <w:color w:val="000000"/>
                <w:kern w:val="0"/>
                <w:szCs w:val="21"/>
              </w:rPr>
              <w:t>2016年9月18日司法部令第134号修订）</w:t>
            </w:r>
          </w:p>
          <w:p>
            <w:pPr>
              <w:pStyle w:val="10"/>
              <w:keepNext w:val="0"/>
              <w:keepLines w:val="0"/>
              <w:pageBreakBefore w:val="0"/>
              <w:widowControl w:val="0"/>
              <w:kinsoku/>
              <w:wordWrap/>
              <w:overflowPunct w:val="0"/>
              <w:topLinePunct w:val="0"/>
              <w:autoSpaceDE w:val="0"/>
              <w:autoSpaceDN w:val="0"/>
              <w:bidi w:val="0"/>
              <w:adjustRightInd w:val="0"/>
              <w:snapToGrid w:val="0"/>
              <w:ind w:firstLine="420" w:firstLineChars="200"/>
              <w:jc w:val="both"/>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第五条 司法行政机关、律师协会应当建立健全律师表彰奖励制度，根据有关规定设立综合性和单项表彰项目，对为维护人民群众合法权益、促进经济社会发展和国家法治建设作出突出贡献的律师进行表彰奖励。</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公证律师管理股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7"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val="en-US" w:eastAsia="zh-CN"/>
              </w:rPr>
            </w:pPr>
            <w:r>
              <w:rPr>
                <w:rFonts w:hint="eastAsia" w:ascii="仿宋_GB2312" w:hAnsi="仿宋_GB2312" w:eastAsia="仿宋_GB2312" w:cs="仿宋_GB2312"/>
                <w:sz w:val="21"/>
                <w:szCs w:val="21"/>
                <w:lang w:val="en-US" w:eastAsia="zh-CN"/>
              </w:rPr>
              <w:t>16</w:t>
            </w:r>
          </w:p>
        </w:tc>
        <w:tc>
          <w:tcPr>
            <w:tcW w:w="1706" w:type="dxa"/>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对在法律援助工作中作出突出贡献的组织和个人进行表彰奖励</w:t>
            </w:r>
          </w:p>
        </w:tc>
        <w:tc>
          <w:tcPr>
            <w:tcW w:w="1650" w:type="dxa"/>
            <w:vAlign w:val="center"/>
          </w:tcPr>
          <w:p>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rPr>
              <w:t>行政奖励</w:t>
            </w:r>
          </w:p>
        </w:tc>
        <w:tc>
          <w:tcPr>
            <w:tcW w:w="6319" w:type="dxa"/>
            <w:vAlign w:val="center"/>
          </w:tcPr>
          <w:p>
            <w:pPr>
              <w:keepNext w:val="0"/>
              <w:keepLines w:val="0"/>
              <w:pageBreakBefore w:val="0"/>
              <w:widowControl w:val="0"/>
              <w:kinsoku w:val="0"/>
              <w:wordWrap/>
              <w:overflowPunct w:val="0"/>
              <w:topLinePunct w:val="0"/>
              <w:autoSpaceDE w:val="0"/>
              <w:autoSpaceDN w:val="0"/>
              <w:bidi w:val="0"/>
              <w:adjustRightInd w:val="0"/>
              <w:snapToGrid w:val="0"/>
              <w:ind w:firstLine="420" w:firstLineChars="200"/>
              <w:jc w:val="lef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 w:val="21"/>
                <w:szCs w:val="21"/>
                <w:lang w:val="en-US" w:eastAsia="zh-CN"/>
              </w:rPr>
              <w:t>行政法规</w:t>
            </w: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themeColor="text1"/>
                <w:kern w:val="0"/>
                <w:szCs w:val="21"/>
                <w14:textFill>
                  <w14:solidFill>
                    <w14:schemeClr w14:val="tx1"/>
                  </w14:solidFill>
                </w14:textFill>
              </w:rPr>
              <w:t>《法律援助条例》</w:t>
            </w:r>
            <w:r>
              <w:rPr>
                <w:rFonts w:hint="eastAsia" w:ascii="仿宋_GB2312" w:hAnsi="仿宋_GB2312" w:eastAsia="仿宋_GB2312" w:cs="仿宋_GB2312"/>
                <w:color w:val="000000"/>
                <w:kern w:val="0"/>
                <w:szCs w:val="21"/>
              </w:rPr>
              <w:t>（</w:t>
            </w:r>
            <w:r>
              <w:rPr>
                <w:rFonts w:hint="eastAsia" w:ascii="仿宋_GB2312" w:hAnsi="仿宋_GB2312" w:eastAsia="仿宋_GB2312" w:cs="仿宋_GB2312"/>
                <w:color w:val="auto"/>
                <w:sz w:val="21"/>
                <w:szCs w:val="21"/>
              </w:rPr>
              <w:t>国务院令第385号</w:t>
            </w:r>
            <w:r>
              <w:rPr>
                <w:rFonts w:hint="eastAsia" w:ascii="仿宋_GB2312" w:hAnsi="仿宋_GB2312" w:eastAsia="仿宋_GB2312" w:cs="仿宋_GB2312"/>
                <w:color w:val="auto"/>
                <w:sz w:val="21"/>
                <w:szCs w:val="21"/>
                <w:lang w:eastAsia="zh-CN"/>
              </w:rPr>
              <w:t>公布</w:t>
            </w:r>
            <w:r>
              <w:rPr>
                <w:rFonts w:hint="eastAsia" w:ascii="仿宋_GB2312" w:hAnsi="仿宋_GB2312" w:eastAsia="仿宋_GB2312" w:cs="仿宋_GB2312"/>
                <w:color w:val="000000"/>
                <w:kern w:val="0"/>
                <w:szCs w:val="21"/>
              </w:rPr>
              <w:t>）</w:t>
            </w:r>
          </w:p>
          <w:p>
            <w:pPr>
              <w:pStyle w:val="10"/>
              <w:keepNext w:val="0"/>
              <w:keepLines w:val="0"/>
              <w:pageBreakBefore w:val="0"/>
              <w:widowControl w:val="0"/>
              <w:kinsoku w:val="0"/>
              <w:wordWrap/>
              <w:overflowPunct w:val="0"/>
              <w:topLinePunct w:val="0"/>
              <w:autoSpaceDE w:val="0"/>
              <w:autoSpaceDN w:val="0"/>
              <w:bidi w:val="0"/>
              <w:adjustRightInd w:val="0"/>
              <w:snapToGrid w:val="0"/>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第九条 对在法律援助工作中作出突出贡献的组织和个人，有关的人民政府、司法行政部门应当给予表彰、奖励。</w:t>
            </w:r>
          </w:p>
        </w:tc>
        <w:tc>
          <w:tcPr>
            <w:tcW w:w="1650" w:type="dxa"/>
            <w:vAlign w:val="center"/>
          </w:tcPr>
          <w:p>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县司法局</w:t>
            </w:r>
          </w:p>
        </w:tc>
        <w:tc>
          <w:tcPr>
            <w:tcW w:w="1706" w:type="dxa"/>
            <w:vAlign w:val="center"/>
          </w:tcPr>
          <w:p>
            <w:pPr>
              <w:keepNext w:val="0"/>
              <w:keepLines w:val="0"/>
              <w:pageBreakBefore w:val="0"/>
              <w:widowControl w:val="0"/>
              <w:kinsoku w:val="0"/>
              <w:wordWrap/>
              <w:overflowPunct w:val="0"/>
              <w:topLinePunct w:val="0"/>
              <w:autoSpaceDE w:val="0"/>
              <w:autoSpaceDN w:val="0"/>
              <w:bidi w:val="0"/>
              <w:adjustRightInd w:val="0"/>
              <w:snapToGrid w:val="0"/>
              <w:jc w:val="center"/>
              <w:textAlignment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公证律师管理股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7" w:hRule="atLeast"/>
          <w:jc w:val="center"/>
        </w:trPr>
        <w:tc>
          <w:tcPr>
            <w:tcW w:w="812"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val="en-US" w:eastAsia="zh-CN"/>
              </w:rPr>
            </w:pPr>
            <w:r>
              <w:rPr>
                <w:rFonts w:hint="eastAsia" w:ascii="仿宋_GB2312" w:hAnsi="仿宋_GB2312" w:eastAsia="仿宋_GB2312" w:cs="仿宋_GB2312"/>
                <w:sz w:val="21"/>
                <w:szCs w:val="21"/>
                <w:lang w:val="en-US" w:eastAsia="zh-CN"/>
              </w:rPr>
              <w:t>17</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 w:val="21"/>
                <w:szCs w:val="21"/>
              </w:rPr>
              <w:t>对人民调解委员会和调解员进行表彰奖励</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 w:val="21"/>
                <w:szCs w:val="21"/>
              </w:rPr>
              <w:t>行政奖励</w:t>
            </w:r>
          </w:p>
        </w:tc>
        <w:tc>
          <w:tcPr>
            <w:tcW w:w="6319" w:type="dxa"/>
            <w:vAlign w:val="center"/>
          </w:tcPr>
          <w:p>
            <w:pPr>
              <w:keepNext w:val="0"/>
              <w:keepLines w:val="0"/>
              <w:pageBreakBefore w:val="0"/>
              <w:widowControl w:val="0"/>
              <w:kinsoku w:val="0"/>
              <w:wordWrap/>
              <w:overflowPunct w:val="0"/>
              <w:topLinePunct w:val="0"/>
              <w:autoSpaceDE w:val="0"/>
              <w:autoSpaceDN w:val="0"/>
              <w:bidi w:val="0"/>
              <w:adjustRightInd w:val="0"/>
              <w:snapToGrid w:val="0"/>
              <w:ind w:firstLine="420" w:firstLineChars="200"/>
              <w:jc w:val="left"/>
              <w:textAlignment w:val="center"/>
              <w:rPr>
                <w:rFonts w:hint="eastAsia" w:ascii="仿宋_GB2312" w:hAnsi="仿宋_GB2312" w:eastAsia="仿宋_GB2312" w:cs="仿宋_GB2312"/>
                <w:color w:val="000000"/>
                <w:kern w:val="0"/>
                <w:sz w:val="21"/>
                <w:szCs w:val="21"/>
                <w:lang w:eastAsia="zh-CN"/>
              </w:rPr>
            </w:pPr>
            <w:r>
              <w:rPr>
                <w:rFonts w:hint="eastAsia" w:ascii="仿宋_GB2312" w:hAnsi="仿宋_GB2312" w:eastAsia="仿宋_GB2312" w:cs="仿宋_GB2312"/>
                <w:color w:val="000000"/>
                <w:kern w:val="0"/>
                <w:sz w:val="21"/>
                <w:szCs w:val="21"/>
              </w:rPr>
              <w:t>【法律】《中华人民共和国人民调解法》</w:t>
            </w:r>
            <w:r>
              <w:rPr>
                <w:rFonts w:hint="eastAsia" w:ascii="仿宋_GB2312" w:hAnsi="仿宋_GB2312" w:eastAsia="仿宋_GB2312" w:cs="仿宋_GB2312"/>
                <w:color w:val="000000"/>
                <w:kern w:val="0"/>
                <w:sz w:val="21"/>
                <w:szCs w:val="21"/>
                <w:lang w:eastAsia="zh-CN"/>
              </w:rPr>
              <w:t>（</w:t>
            </w:r>
            <w:r>
              <w:rPr>
                <w:rFonts w:hint="eastAsia" w:ascii="仿宋_GB2312" w:hAnsi="仿宋_GB2312" w:eastAsia="仿宋_GB2312" w:cs="仿宋_GB2312"/>
                <w:color w:val="000000"/>
                <w:kern w:val="0"/>
                <w:sz w:val="21"/>
                <w:szCs w:val="21"/>
                <w:lang w:val="en-US" w:eastAsia="zh-CN"/>
              </w:rPr>
              <w:t>2010年</w:t>
            </w:r>
            <w:r>
              <w:rPr>
                <w:rFonts w:hint="eastAsia" w:ascii="仿宋_GB2312" w:hAnsi="仿宋_GB2312" w:eastAsia="仿宋_GB2312" w:cs="仿宋_GB2312"/>
                <w:color w:val="000000"/>
                <w:kern w:val="0"/>
                <w:sz w:val="21"/>
                <w:szCs w:val="21"/>
              </w:rPr>
              <w:t>主席令第</w:t>
            </w:r>
            <w:r>
              <w:rPr>
                <w:rFonts w:hint="eastAsia" w:ascii="仿宋_GB2312" w:hAnsi="仿宋_GB2312" w:eastAsia="仿宋_GB2312" w:cs="仿宋_GB2312"/>
                <w:color w:val="000000"/>
                <w:kern w:val="0"/>
                <w:sz w:val="21"/>
                <w:szCs w:val="21"/>
                <w:lang w:val="en-US" w:eastAsia="zh-CN"/>
              </w:rPr>
              <w:t>34</w:t>
            </w:r>
            <w:r>
              <w:rPr>
                <w:rFonts w:hint="eastAsia" w:ascii="仿宋_GB2312" w:hAnsi="仿宋_GB2312" w:eastAsia="仿宋_GB2312" w:cs="仿宋_GB2312"/>
                <w:color w:val="000000"/>
                <w:kern w:val="0"/>
                <w:sz w:val="21"/>
                <w:szCs w:val="21"/>
              </w:rPr>
              <w:t>号</w:t>
            </w:r>
            <w:r>
              <w:rPr>
                <w:rFonts w:hint="eastAsia" w:ascii="仿宋_GB2312" w:hAnsi="仿宋_GB2312" w:eastAsia="仿宋_GB2312" w:cs="仿宋_GB2312"/>
                <w:color w:val="000000"/>
                <w:kern w:val="0"/>
                <w:sz w:val="21"/>
                <w:szCs w:val="21"/>
                <w:lang w:eastAsia="zh-CN"/>
              </w:rPr>
              <w:t>公布）</w:t>
            </w:r>
          </w:p>
          <w:p>
            <w:pPr>
              <w:keepNext w:val="0"/>
              <w:keepLines w:val="0"/>
              <w:pageBreakBefore w:val="0"/>
              <w:widowControl w:val="0"/>
              <w:kinsoku w:val="0"/>
              <w:wordWrap/>
              <w:overflowPunct w:val="0"/>
              <w:topLinePunct w:val="0"/>
              <w:autoSpaceDE w:val="0"/>
              <w:autoSpaceDN w:val="0"/>
              <w:bidi w:val="0"/>
              <w:adjustRightInd w:val="0"/>
              <w:snapToGrid w:val="0"/>
              <w:ind w:firstLine="420" w:firstLineChars="200"/>
              <w:jc w:val="left"/>
              <w:textAlignment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第六条</w:t>
            </w:r>
            <w:r>
              <w:rPr>
                <w:rFonts w:hint="eastAsia" w:ascii="仿宋_GB2312" w:hAnsi="仿宋_GB2312" w:eastAsia="仿宋_GB2312" w:cs="仿宋_GB2312"/>
                <w:color w:val="000000"/>
                <w:kern w:val="0"/>
                <w:sz w:val="21"/>
                <w:szCs w:val="21"/>
                <w:lang w:val="en-US" w:eastAsia="zh-CN"/>
              </w:rPr>
              <w:t xml:space="preserve"> </w:t>
            </w:r>
            <w:r>
              <w:rPr>
                <w:rFonts w:hint="eastAsia" w:ascii="仿宋_GB2312" w:hAnsi="仿宋_GB2312" w:eastAsia="仿宋_GB2312" w:cs="仿宋_GB2312"/>
                <w:color w:val="000000"/>
                <w:kern w:val="0"/>
                <w:sz w:val="21"/>
                <w:szCs w:val="21"/>
              </w:rPr>
              <w:t>国家鼓励和支持人民调解工作。县级以上地方人民政府对人民调解工作所需经费应当给予必要的支持和保障，对有突出贡献的人民调解委员会和人民调解员按照国家规定给予表彰奖励。</w:t>
            </w:r>
          </w:p>
          <w:p>
            <w:pPr>
              <w:keepNext w:val="0"/>
              <w:keepLines w:val="0"/>
              <w:pageBreakBefore w:val="0"/>
              <w:widowControl w:val="0"/>
              <w:kinsoku w:val="0"/>
              <w:wordWrap/>
              <w:overflowPunct w:val="0"/>
              <w:topLinePunct w:val="0"/>
              <w:autoSpaceDE w:val="0"/>
              <w:autoSpaceDN w:val="0"/>
              <w:bidi w:val="0"/>
              <w:adjustRightInd w:val="0"/>
              <w:snapToGrid w:val="0"/>
              <w:ind w:firstLine="420" w:firstLineChars="200"/>
              <w:jc w:val="left"/>
              <w:textAlignment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【部门规章】《人民调解委员会及调解员奖励办法》（1991年司法部令第15号）</w:t>
            </w:r>
          </w:p>
          <w:p>
            <w:pPr>
              <w:keepNext w:val="0"/>
              <w:keepLines w:val="0"/>
              <w:pageBreakBefore w:val="0"/>
              <w:widowControl w:val="0"/>
              <w:kinsoku w:val="0"/>
              <w:wordWrap/>
              <w:overflowPunct w:val="0"/>
              <w:topLinePunct w:val="0"/>
              <w:autoSpaceDE w:val="0"/>
              <w:autoSpaceDN w:val="0"/>
              <w:bidi w:val="0"/>
              <w:adjustRightInd w:val="0"/>
              <w:snapToGrid w:val="0"/>
              <w:ind w:firstLine="420" w:firstLineChars="200"/>
              <w:jc w:val="left"/>
              <w:textAlignment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第七条</w:t>
            </w:r>
            <w:r>
              <w:rPr>
                <w:rFonts w:hint="eastAsia" w:ascii="仿宋_GB2312" w:hAnsi="仿宋_GB2312" w:eastAsia="仿宋_GB2312" w:cs="仿宋_GB2312"/>
                <w:color w:val="000000"/>
                <w:kern w:val="0"/>
                <w:sz w:val="21"/>
                <w:szCs w:val="21"/>
                <w:lang w:val="en-US" w:eastAsia="zh-CN"/>
              </w:rPr>
              <w:t xml:space="preserve"> </w:t>
            </w:r>
            <w:r>
              <w:rPr>
                <w:rFonts w:hint="eastAsia" w:ascii="仿宋_GB2312" w:hAnsi="仿宋_GB2312" w:eastAsia="仿宋_GB2312" w:cs="仿宋_GB2312"/>
                <w:color w:val="000000"/>
                <w:kern w:val="0"/>
                <w:sz w:val="21"/>
                <w:szCs w:val="21"/>
              </w:rPr>
              <w:t>奖励的审批权限</w:t>
            </w:r>
          </w:p>
          <w:p>
            <w:pPr>
              <w:keepNext w:val="0"/>
              <w:keepLines w:val="0"/>
              <w:pageBreakBefore w:val="0"/>
              <w:widowControl w:val="0"/>
              <w:kinsoku w:val="0"/>
              <w:wordWrap/>
              <w:overflowPunct w:val="0"/>
              <w:topLinePunct w:val="0"/>
              <w:autoSpaceDE w:val="0"/>
              <w:autoSpaceDN w:val="0"/>
              <w:bidi w:val="0"/>
              <w:adjustRightInd w:val="0"/>
              <w:snapToGrid w:val="0"/>
              <w:ind w:firstLine="420" w:firstLineChars="200"/>
              <w:jc w:val="left"/>
              <w:textAlignment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模范人民调解委员会和模范人民调</w:t>
            </w:r>
            <w:r>
              <w:rPr>
                <w:rFonts w:hint="eastAsia" w:ascii="仿宋_GB2312" w:hAnsi="仿宋_GB2312" w:eastAsia="仿宋_GB2312" w:cs="仿宋_GB2312"/>
                <w:color w:val="000000"/>
                <w:kern w:val="0"/>
                <w:sz w:val="21"/>
                <w:szCs w:val="21"/>
                <w:lang w:eastAsia="zh-CN"/>
              </w:rPr>
              <w:t>解</w:t>
            </w:r>
            <w:r>
              <w:rPr>
                <w:rFonts w:hint="eastAsia" w:ascii="仿宋_GB2312" w:hAnsi="仿宋_GB2312" w:eastAsia="仿宋_GB2312" w:cs="仿宋_GB2312"/>
                <w:color w:val="000000"/>
                <w:kern w:val="0"/>
                <w:sz w:val="21"/>
                <w:szCs w:val="21"/>
              </w:rPr>
              <w:t>员以及集体和个人的命名表彰，由司法部批准。</w:t>
            </w:r>
          </w:p>
          <w:p>
            <w:pPr>
              <w:keepNext w:val="0"/>
              <w:keepLines w:val="0"/>
              <w:pageBreakBefore w:val="0"/>
              <w:widowControl w:val="0"/>
              <w:kinsoku w:val="0"/>
              <w:wordWrap/>
              <w:overflowPunct w:val="0"/>
              <w:topLinePunct w:val="0"/>
              <w:autoSpaceDE w:val="0"/>
              <w:autoSpaceDN w:val="0"/>
              <w:bidi w:val="0"/>
              <w:adjustRightInd w:val="0"/>
              <w:snapToGrid w:val="0"/>
              <w:ind w:firstLine="420" w:firstLineChars="200"/>
              <w:jc w:val="left"/>
              <w:textAlignment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优秀人民调解委员会和优秀人民调解员由省、自治区、直辖市司法厅（局）批准。</w:t>
            </w:r>
          </w:p>
          <w:p>
            <w:pPr>
              <w:pStyle w:val="10"/>
              <w:keepNext w:val="0"/>
              <w:keepLines w:val="0"/>
              <w:pageBreakBefore w:val="0"/>
              <w:widowControl w:val="0"/>
              <w:kinsoku w:val="0"/>
              <w:wordWrap/>
              <w:overflowPunct w:val="0"/>
              <w:topLinePunct w:val="0"/>
              <w:autoSpaceDE w:val="0"/>
              <w:autoSpaceDN w:val="0"/>
              <w:bidi w:val="0"/>
              <w:adjustRightInd w:val="0"/>
              <w:snapToGrid w:val="0"/>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 w:val="21"/>
                <w:szCs w:val="21"/>
              </w:rPr>
              <w:t>地（市）、县级司法局（处）表彰的统称先进人民调解委员会和先进人民调解员，分别由地（市）、县级司法局（处）批准。</w:t>
            </w:r>
          </w:p>
        </w:tc>
        <w:tc>
          <w:tcPr>
            <w:tcW w:w="1650"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sz w:val="21"/>
                <w:szCs w:val="21"/>
                <w:lang w:val="en-US" w:eastAsia="zh-CN"/>
              </w:rPr>
              <w:t>县司法局</w:t>
            </w:r>
          </w:p>
        </w:tc>
        <w:tc>
          <w:tcPr>
            <w:tcW w:w="1706"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 w:val="21"/>
                <w:szCs w:val="21"/>
              </w:rPr>
              <w:t>基层工作管理股</w:t>
            </w:r>
          </w:p>
        </w:tc>
        <w:tc>
          <w:tcPr>
            <w:tcW w:w="831" w:type="dxa"/>
            <w:vAlign w:val="center"/>
          </w:tcPr>
          <w:p>
            <w:pPr>
              <w:pStyle w:val="10"/>
              <w:keepNext w:val="0"/>
              <w:keepLines w:val="0"/>
              <w:pageBreakBefore w:val="0"/>
              <w:widowControl w:val="0"/>
              <w:kinsoku w:val="0"/>
              <w:wordWrap/>
              <w:overflowPunct w:val="0"/>
              <w:topLinePunct w:val="0"/>
              <w:autoSpaceDE w:val="0"/>
              <w:autoSpaceDN w:val="0"/>
              <w:bidi w:val="0"/>
              <w:adjustRightInd w:val="0"/>
              <w:snapToGrid w:val="0"/>
              <w:jc w:val="center"/>
              <w:rPr>
                <w:rFonts w:hint="eastAsia" w:ascii="仿宋_GB2312" w:hAnsi="仿宋_GB2312" w:eastAsia="仿宋_GB2312" w:cs="仿宋_GB2312"/>
                <w:snapToGrid w:val="0"/>
                <w:color w:val="000000"/>
                <w:kern w:val="0"/>
                <w:sz w:val="21"/>
                <w:szCs w:val="21"/>
                <w:lang w:val="en-US" w:eastAsia="en-US" w:bidi="ar-SA"/>
              </w:rPr>
            </w:pPr>
          </w:p>
        </w:tc>
      </w:tr>
    </w:tbl>
    <w:p>
      <w:pPr>
        <w:spacing w:line="142" w:lineRule="exact"/>
        <w:jc w:val="center"/>
      </w:pPr>
    </w:p>
    <w:p>
      <w:pPr>
        <w:spacing w:line="14" w:lineRule="auto"/>
        <w:rPr>
          <w:rFonts w:ascii="Arial"/>
          <w:sz w:val="2"/>
        </w:rPr>
      </w:pPr>
    </w:p>
    <w:sectPr>
      <w:type w:val="continuous"/>
      <w:pgSz w:w="16820" w:h="11900"/>
      <w:pgMar w:top="1134" w:right="1025" w:bottom="850" w:left="994" w:header="0" w:footer="0" w:gutter="0"/>
      <w:pgNumType w:fmt="numberInDash"/>
      <w:cols w:equalWidth="0" w:num="1">
        <w:col w:w="148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sans-serif">
    <w:altName w:val="仿宋_GB2312"/>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jViODZhOWQ0NDQxZTNmNTM1NWU0OWQ3NmEwNGFjYTMifQ=="/>
  </w:docVars>
  <w:rsids>
    <w:rsidRoot w:val="00000000"/>
    <w:rsid w:val="03906781"/>
    <w:rsid w:val="05C73666"/>
    <w:rsid w:val="065344DE"/>
    <w:rsid w:val="0A5551BF"/>
    <w:rsid w:val="0AF601DE"/>
    <w:rsid w:val="0E9E44B5"/>
    <w:rsid w:val="106D374C"/>
    <w:rsid w:val="15252E45"/>
    <w:rsid w:val="157D99D7"/>
    <w:rsid w:val="17A36F51"/>
    <w:rsid w:val="1A937147"/>
    <w:rsid w:val="1B5337B3"/>
    <w:rsid w:val="1DCD471E"/>
    <w:rsid w:val="20016901"/>
    <w:rsid w:val="22496974"/>
    <w:rsid w:val="2DA234D0"/>
    <w:rsid w:val="31204963"/>
    <w:rsid w:val="31DB6D80"/>
    <w:rsid w:val="327C0F63"/>
    <w:rsid w:val="32F67202"/>
    <w:rsid w:val="345F469E"/>
    <w:rsid w:val="41A42FA1"/>
    <w:rsid w:val="43351360"/>
    <w:rsid w:val="46C93056"/>
    <w:rsid w:val="48CA65BD"/>
    <w:rsid w:val="497D0831"/>
    <w:rsid w:val="50CE34DC"/>
    <w:rsid w:val="536929AC"/>
    <w:rsid w:val="5666172C"/>
    <w:rsid w:val="577201D6"/>
    <w:rsid w:val="5FD943FF"/>
    <w:rsid w:val="69655409"/>
    <w:rsid w:val="69D61BB6"/>
    <w:rsid w:val="6AA1457D"/>
    <w:rsid w:val="6FAF46CD"/>
    <w:rsid w:val="70FA499F"/>
    <w:rsid w:val="75CEFA0E"/>
    <w:rsid w:val="775F37AE"/>
    <w:rsid w:val="77BD5607"/>
    <w:rsid w:val="78CA10FB"/>
    <w:rsid w:val="7EA31E30"/>
    <w:rsid w:val="7F037115"/>
    <w:rsid w:val="9FEBDD67"/>
    <w:rsid w:val="B79BA650"/>
    <w:rsid w:val="BEEED064"/>
    <w:rsid w:val="BF773A64"/>
    <w:rsid w:val="BFFFEF9A"/>
    <w:rsid w:val="D76CA8C4"/>
    <w:rsid w:val="E66F9E6A"/>
    <w:rsid w:val="E9BB57E3"/>
    <w:rsid w:val="ED970F00"/>
    <w:rsid w:val="F5FA28C2"/>
    <w:rsid w:val="FB2B7CBC"/>
    <w:rsid w:val="FBAEC330"/>
    <w:rsid w:val="FBDFEDD1"/>
    <w:rsid w:val="FFF960D5"/>
    <w:rsid w:val="FFFE5C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Pages>
  <Words>6459</Words>
  <Characters>6677</Characters>
  <TotalTime>0</TotalTime>
  <ScaleCrop>false</ScaleCrop>
  <LinksUpToDate>false</LinksUpToDate>
  <CharactersWithSpaces>6910</CharactersWithSpaces>
  <Application>WPS Office_11.8.2.12177_F1E327BC-269C-435d-A152-05C5408002CA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2024-05-24T10:50:00Z</dcterms:created>
  <dc:creator>admin</dc:creator>
  <cp:lastModifiedBy>baixin</cp:lastModifiedBy>
  <cp:lastPrinted>2024-08-21T09:53:11Z</cp:lastPrinted>
  <dcterms:modified xsi:type="dcterms:W3CDTF">2024-08-21T09:59:30Z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2052-11.8.2.12177</vt:lpwstr>
  </property>
  <property fmtid="{D5CDD505-2E9C-101B-9397-08002B2CF9AE}" pid="6" name="ICV">
    <vt:lpwstr>C2A2E93DFAD2460B82F61F283D616B90_13</vt:lpwstr>
  </property>
</Properties>
</file>