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1E90D50">
      <w:pPr>
        <w:keepNext w:val="0"/>
        <w:keepLines w:val="0"/>
        <w:pageBreakBefore w:val="0"/>
        <w:widowControl/>
        <w:kinsoku w:val="0"/>
        <w:wordWrap/>
        <w:overflowPunct/>
        <w:topLinePunct w:val="0"/>
        <w:autoSpaceDE w:val="0"/>
        <w:autoSpaceDN w:val="0"/>
        <w:bidi w:val="0"/>
        <w:adjustRightInd w:val="0"/>
        <w:snapToGrid w:val="0"/>
        <w:spacing w:line="586" w:lineRule="exact"/>
        <w:ind w:left="0"/>
        <w:textAlignment w:val="baseline"/>
        <w:rPr>
          <w:rFonts w:hint="eastAsia" w:ascii="黑体" w:hAnsi="黑体" w:eastAsia="黑体" w:cs="黑体"/>
          <w:b w:val="0"/>
          <w:bCs w:val="0"/>
          <w:sz w:val="32"/>
          <w:szCs w:val="32"/>
          <w:lang w:eastAsia="zh-CN"/>
        </w:rPr>
      </w:pPr>
      <w:r>
        <w:rPr>
          <w:rFonts w:ascii="黑体" w:hAnsi="黑体" w:eastAsia="黑体" w:cs="黑体"/>
          <w:b w:val="0"/>
          <w:bCs w:val="0"/>
          <w:spacing w:val="14"/>
          <w:sz w:val="32"/>
          <w:szCs w:val="32"/>
        </w:rPr>
        <w:t>附件</w:t>
      </w:r>
      <w:r>
        <w:rPr>
          <w:rFonts w:hint="eastAsia" w:ascii="黑体" w:hAnsi="黑体" w:eastAsia="黑体" w:cs="黑体"/>
          <w:b w:val="0"/>
          <w:bCs w:val="0"/>
          <w:spacing w:val="14"/>
          <w:sz w:val="32"/>
          <w:szCs w:val="32"/>
          <w:lang w:val="en-US" w:eastAsia="zh-CN"/>
        </w:rPr>
        <w:t>2</w:t>
      </w:r>
    </w:p>
    <w:p w14:paraId="2AADE800">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24"/>
          <w:sz w:val="44"/>
          <w:szCs w:val="44"/>
        </w:rPr>
        <w:t>行政执法事项目录清单</w:t>
      </w:r>
    </w:p>
    <w:p w14:paraId="4190FBDC">
      <w:pPr>
        <w:spacing w:line="195" w:lineRule="exact"/>
      </w:pPr>
    </w:p>
    <w:p w14:paraId="52EE3359">
      <w:pPr>
        <w:spacing w:line="195" w:lineRule="exact"/>
        <w:sectPr>
          <w:footerReference r:id="rId5" w:type="default"/>
          <w:pgSz w:w="16820" w:h="11900"/>
          <w:pgMar w:top="1011" w:right="1205" w:bottom="400" w:left="929" w:header="0" w:footer="0" w:gutter="0"/>
          <w:pgNumType w:fmt="decimal"/>
          <w:cols w:equalWidth="0" w:num="1">
            <w:col w:w="14685"/>
          </w:cols>
        </w:sectPr>
      </w:pPr>
    </w:p>
    <w:p w14:paraId="30447471">
      <w:pPr>
        <w:spacing w:before="69" w:line="184" w:lineRule="auto"/>
        <w:ind w:left="159"/>
        <w:rPr>
          <w:rFonts w:ascii="Arial"/>
          <w:sz w:val="2"/>
        </w:rPr>
      </w:pPr>
      <w:r>
        <w:rPr>
          <w:rFonts w:ascii="宋体" w:hAnsi="宋体" w:eastAsia="宋体" w:cs="宋体"/>
          <w:spacing w:val="6"/>
          <w:sz w:val="31"/>
          <w:szCs w:val="31"/>
        </w:rPr>
        <w:t>填报单位(盖章):</w:t>
      </w:r>
      <w:r>
        <w:rPr>
          <w:rFonts w:hint="eastAsia" w:ascii="宋体" w:hAnsi="宋体" w:eastAsia="宋体" w:cs="宋体"/>
          <w:spacing w:val="6"/>
          <w:sz w:val="31"/>
          <w:szCs w:val="31"/>
          <w:lang w:eastAsia="zh-CN"/>
        </w:rPr>
        <w:t>陵川县审计局</w:t>
      </w:r>
    </w:p>
    <w:p w14:paraId="3B683849">
      <w:pPr>
        <w:spacing w:before="61" w:line="188" w:lineRule="auto"/>
        <w:rPr>
          <w:rFonts w:hint="default" w:ascii="宋体" w:hAnsi="宋体" w:eastAsia="宋体" w:cs="宋体"/>
          <w:sz w:val="31"/>
          <w:szCs w:val="31"/>
          <w:lang w:val="en-US" w:eastAsia="zh-CN"/>
        </w:rPr>
        <w:sectPr>
          <w:type w:val="continuous"/>
          <w:pgSz w:w="16820" w:h="11900"/>
          <w:pgMar w:top="1011" w:right="1205" w:bottom="400" w:left="929" w:header="0" w:footer="0" w:gutter="0"/>
          <w:pgNumType w:fmt="decimal"/>
          <w:cols w:equalWidth="0" w:num="2">
            <w:col w:w="9640" w:space="100"/>
            <w:col w:w="4946"/>
          </w:cols>
        </w:sectPr>
      </w:pPr>
      <w:r>
        <w:rPr>
          <w:rFonts w:ascii="宋体" w:hAnsi="宋体" w:eastAsia="宋体" w:cs="宋体"/>
          <w:spacing w:val="-1"/>
          <w:sz w:val="31"/>
          <w:szCs w:val="31"/>
        </w:rPr>
        <w:t>联系人和联系方式</w:t>
      </w:r>
      <w:r>
        <w:rPr>
          <w:rFonts w:hint="eastAsia" w:ascii="宋体" w:hAnsi="宋体" w:eastAsia="宋体" w:cs="宋体"/>
          <w:spacing w:val="-1"/>
          <w:sz w:val="31"/>
          <w:szCs w:val="31"/>
          <w:lang w:eastAsia="zh-CN"/>
        </w:rPr>
        <w:t>：崔晓宁</w:t>
      </w:r>
      <w:r>
        <w:rPr>
          <w:rFonts w:hint="eastAsia" w:ascii="宋体" w:hAnsi="宋体" w:eastAsia="宋体" w:cs="宋体"/>
          <w:spacing w:val="-1"/>
          <w:sz w:val="31"/>
          <w:szCs w:val="31"/>
          <w:lang w:val="en-US" w:eastAsia="zh-CN"/>
        </w:rPr>
        <w:t xml:space="preserve"> 15581865873</w:t>
      </w:r>
    </w:p>
    <w:p w14:paraId="713292FB">
      <w:pPr>
        <w:spacing w:line="92" w:lineRule="auto"/>
        <w:rPr>
          <w:rFonts w:ascii="Arial"/>
          <w:sz w:val="2"/>
        </w:rPr>
      </w:pPr>
    </w:p>
    <w:tbl>
      <w:tblPr>
        <w:tblStyle w:val="7"/>
        <w:tblW w:w="1467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40"/>
        <w:gridCol w:w="2710"/>
        <w:gridCol w:w="868"/>
        <w:gridCol w:w="7811"/>
        <w:gridCol w:w="696"/>
        <w:gridCol w:w="965"/>
        <w:gridCol w:w="784"/>
      </w:tblGrid>
      <w:tr w14:paraId="47310EC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7" w:hRule="atLeast"/>
        </w:trPr>
        <w:tc>
          <w:tcPr>
            <w:tcW w:w="840" w:type="dxa"/>
            <w:vAlign w:val="top"/>
          </w:tcPr>
          <w:p w14:paraId="522583B2">
            <w:pPr>
              <w:pStyle w:val="8"/>
              <w:spacing w:line="277" w:lineRule="auto"/>
            </w:pPr>
          </w:p>
          <w:p w14:paraId="2E1DF630">
            <w:pPr>
              <w:spacing w:before="101" w:line="221" w:lineRule="auto"/>
              <w:ind w:left="174"/>
              <w:rPr>
                <w:rFonts w:ascii="宋体" w:hAnsi="宋体" w:eastAsia="宋体" w:cs="宋体"/>
                <w:sz w:val="31"/>
                <w:szCs w:val="31"/>
              </w:rPr>
            </w:pPr>
            <w:r>
              <w:rPr>
                <w:rFonts w:ascii="宋体" w:hAnsi="宋体" w:eastAsia="宋体" w:cs="宋体"/>
                <w:b/>
                <w:bCs/>
                <w:spacing w:val="1"/>
                <w:sz w:val="31"/>
                <w:szCs w:val="31"/>
              </w:rPr>
              <w:t>序号</w:t>
            </w:r>
          </w:p>
        </w:tc>
        <w:tc>
          <w:tcPr>
            <w:tcW w:w="2710" w:type="dxa"/>
            <w:vAlign w:val="top"/>
          </w:tcPr>
          <w:p w14:paraId="2BF98E1B">
            <w:pPr>
              <w:pStyle w:val="8"/>
              <w:spacing w:line="276" w:lineRule="auto"/>
            </w:pPr>
          </w:p>
          <w:p w14:paraId="1188F2EF">
            <w:pPr>
              <w:spacing w:before="101" w:line="220" w:lineRule="auto"/>
              <w:ind w:left="805"/>
              <w:rPr>
                <w:rFonts w:ascii="宋体" w:hAnsi="宋体" w:eastAsia="宋体" w:cs="宋体"/>
                <w:sz w:val="31"/>
                <w:szCs w:val="31"/>
              </w:rPr>
            </w:pPr>
            <w:r>
              <w:rPr>
                <w:rFonts w:ascii="宋体" w:hAnsi="宋体" w:eastAsia="宋体" w:cs="宋体"/>
                <w:b/>
                <w:bCs/>
                <w:spacing w:val="-6"/>
                <w:sz w:val="31"/>
                <w:szCs w:val="31"/>
              </w:rPr>
              <w:t>事项名称</w:t>
            </w:r>
          </w:p>
        </w:tc>
        <w:tc>
          <w:tcPr>
            <w:tcW w:w="868" w:type="dxa"/>
            <w:vAlign w:val="center"/>
          </w:tcPr>
          <w:p w14:paraId="4FDF99A4">
            <w:pPr>
              <w:spacing w:before="100" w:line="219" w:lineRule="auto"/>
              <w:jc w:val="center"/>
              <w:rPr>
                <w:rFonts w:ascii="宋体" w:hAnsi="宋体" w:eastAsia="宋体" w:cs="宋体"/>
                <w:sz w:val="31"/>
                <w:szCs w:val="31"/>
              </w:rPr>
            </w:pPr>
            <w:r>
              <w:rPr>
                <w:rFonts w:ascii="宋体" w:hAnsi="宋体" w:eastAsia="宋体" w:cs="宋体"/>
                <w:b/>
                <w:bCs/>
                <w:spacing w:val="-1"/>
                <w:sz w:val="31"/>
                <w:szCs w:val="31"/>
              </w:rPr>
              <w:t>事项类型</w:t>
            </w:r>
          </w:p>
        </w:tc>
        <w:tc>
          <w:tcPr>
            <w:tcW w:w="7811" w:type="dxa"/>
            <w:vAlign w:val="top"/>
          </w:tcPr>
          <w:p w14:paraId="3DE57836">
            <w:pPr>
              <w:pStyle w:val="8"/>
              <w:spacing w:line="273" w:lineRule="auto"/>
            </w:pPr>
          </w:p>
          <w:p w14:paraId="70804D6B">
            <w:pPr>
              <w:spacing w:before="101" w:line="219" w:lineRule="auto"/>
              <w:ind w:left="1418"/>
              <w:rPr>
                <w:rFonts w:ascii="宋体" w:hAnsi="宋体" w:eastAsia="宋体" w:cs="宋体"/>
                <w:sz w:val="31"/>
                <w:szCs w:val="31"/>
              </w:rPr>
            </w:pPr>
            <w:r>
              <w:rPr>
                <w:rFonts w:ascii="宋体" w:hAnsi="宋体" w:eastAsia="宋体" w:cs="宋体"/>
                <w:b/>
                <w:bCs/>
                <w:spacing w:val="-1"/>
                <w:sz w:val="31"/>
                <w:szCs w:val="31"/>
              </w:rPr>
              <w:t>事项依据</w:t>
            </w:r>
          </w:p>
        </w:tc>
        <w:tc>
          <w:tcPr>
            <w:tcW w:w="696" w:type="dxa"/>
            <w:vAlign w:val="center"/>
          </w:tcPr>
          <w:p w14:paraId="057D9ECB">
            <w:pPr>
              <w:spacing w:before="100" w:line="219" w:lineRule="auto"/>
              <w:jc w:val="center"/>
              <w:rPr>
                <w:rFonts w:ascii="宋体" w:hAnsi="宋体" w:eastAsia="宋体" w:cs="宋体"/>
                <w:sz w:val="31"/>
                <w:szCs w:val="31"/>
              </w:rPr>
            </w:pPr>
            <w:r>
              <w:rPr>
                <w:rFonts w:ascii="宋体" w:hAnsi="宋体" w:eastAsia="宋体" w:cs="宋体"/>
                <w:b/>
                <w:bCs/>
                <w:spacing w:val="-3"/>
                <w:sz w:val="31"/>
                <w:szCs w:val="31"/>
              </w:rPr>
              <w:t>责任主体</w:t>
            </w:r>
          </w:p>
        </w:tc>
        <w:tc>
          <w:tcPr>
            <w:tcW w:w="965" w:type="dxa"/>
            <w:vAlign w:val="center"/>
          </w:tcPr>
          <w:p w14:paraId="5FE30716">
            <w:pPr>
              <w:spacing w:before="101" w:line="220" w:lineRule="auto"/>
              <w:jc w:val="center"/>
              <w:rPr>
                <w:rFonts w:ascii="宋体" w:hAnsi="宋体" w:eastAsia="宋体" w:cs="宋体"/>
                <w:b/>
                <w:bCs/>
                <w:spacing w:val="-3"/>
                <w:sz w:val="31"/>
                <w:szCs w:val="31"/>
              </w:rPr>
            </w:pPr>
            <w:r>
              <w:rPr>
                <w:rFonts w:ascii="宋体" w:hAnsi="宋体" w:eastAsia="宋体" w:cs="宋体"/>
                <w:b/>
                <w:bCs/>
                <w:spacing w:val="-3"/>
                <w:sz w:val="31"/>
                <w:szCs w:val="31"/>
              </w:rPr>
              <w:t>实施</w:t>
            </w:r>
          </w:p>
          <w:p w14:paraId="29BEFCD8">
            <w:pPr>
              <w:spacing w:before="101" w:line="220" w:lineRule="auto"/>
              <w:jc w:val="center"/>
              <w:rPr>
                <w:rFonts w:ascii="宋体" w:hAnsi="宋体" w:eastAsia="宋体" w:cs="宋体"/>
                <w:sz w:val="31"/>
                <w:szCs w:val="31"/>
              </w:rPr>
            </w:pPr>
            <w:r>
              <w:rPr>
                <w:rFonts w:ascii="宋体" w:hAnsi="宋体" w:eastAsia="宋体" w:cs="宋体"/>
                <w:b/>
                <w:bCs/>
                <w:spacing w:val="-3"/>
                <w:sz w:val="31"/>
                <w:szCs w:val="31"/>
              </w:rPr>
              <w:t>主体</w:t>
            </w:r>
          </w:p>
        </w:tc>
        <w:tc>
          <w:tcPr>
            <w:tcW w:w="784" w:type="dxa"/>
            <w:vAlign w:val="center"/>
          </w:tcPr>
          <w:p w14:paraId="44127AA8">
            <w:pPr>
              <w:spacing w:before="101" w:line="221" w:lineRule="auto"/>
              <w:ind w:left="244"/>
              <w:jc w:val="both"/>
              <w:rPr>
                <w:rFonts w:ascii="宋体" w:hAnsi="宋体" w:eastAsia="宋体" w:cs="宋体"/>
                <w:sz w:val="31"/>
                <w:szCs w:val="31"/>
              </w:rPr>
            </w:pPr>
            <w:r>
              <w:rPr>
                <w:rFonts w:ascii="宋体" w:hAnsi="宋体" w:eastAsia="宋体" w:cs="宋体"/>
                <w:b/>
                <w:bCs/>
                <w:sz w:val="31"/>
                <w:szCs w:val="31"/>
              </w:rPr>
              <w:t>备注</w:t>
            </w:r>
          </w:p>
        </w:tc>
      </w:tr>
      <w:tr w14:paraId="1023551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97" w:hRule="atLeast"/>
        </w:trPr>
        <w:tc>
          <w:tcPr>
            <w:tcW w:w="840" w:type="dxa"/>
            <w:vAlign w:val="center"/>
          </w:tcPr>
          <w:p w14:paraId="2E46B907">
            <w:pPr>
              <w:keepNext w:val="0"/>
              <w:keepLines w:val="0"/>
              <w:pageBreakBefore w:val="0"/>
              <w:widowControl/>
              <w:kinsoku/>
              <w:wordWrap/>
              <w:overflowPunct/>
              <w:topLinePunct w:val="0"/>
              <w:autoSpaceDE/>
              <w:autoSpaceDN w:val="0"/>
              <w:bidi w:val="0"/>
              <w:adjustRightInd w:val="0"/>
              <w:snapToGrid w:val="0"/>
              <w:spacing w:line="240" w:lineRule="exact"/>
              <w:jc w:val="center"/>
              <w:textAlignment w:val="center"/>
              <w:rPr>
                <w:rFonts w:hint="eastAsia" w:ascii="仿宋_GB2312" w:hAnsi="仿宋_GB2312" w:eastAsia="仿宋_GB2312" w:cs="仿宋_GB2312"/>
                <w:b w:val="0"/>
                <w:i w:val="0"/>
                <w:snapToGrid/>
                <w:color w:val="000000" w:themeColor="text1"/>
                <w:kern w:val="0"/>
                <w:sz w:val="21"/>
                <w:szCs w:val="21"/>
                <w:u w:val="none"/>
                <w:lang w:val="en-US" w:eastAsia="zh-CN" w:bidi="ar-SA"/>
                <w14:textFill>
                  <w14:solidFill>
                    <w14:schemeClr w14:val="tx1"/>
                  </w14:solidFill>
                </w14:textFill>
              </w:rPr>
            </w:pPr>
            <w:r>
              <w:rPr>
                <w:rFonts w:hint="eastAsia" w:ascii="仿宋_GB2312" w:hAnsi="仿宋_GB2312" w:eastAsia="仿宋_GB2312" w:cs="仿宋_GB2312"/>
                <w:b w:val="0"/>
                <w:i w:val="0"/>
                <w:snapToGrid/>
                <w:color w:val="000000" w:themeColor="text1"/>
                <w:sz w:val="21"/>
                <w:szCs w:val="21"/>
                <w:u w:val="none"/>
                <w:lang w:val="en-US" w:eastAsia="zh-CN"/>
                <w14:textFill>
                  <w14:solidFill>
                    <w14:schemeClr w14:val="tx1"/>
                  </w14:solidFill>
                </w14:textFill>
              </w:rPr>
              <w:t>1</w:t>
            </w:r>
          </w:p>
        </w:tc>
        <w:tc>
          <w:tcPr>
            <w:tcW w:w="2710" w:type="dxa"/>
            <w:vAlign w:val="center"/>
          </w:tcPr>
          <w:p w14:paraId="460A67D4">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_GB2312" w:hAnsi="仿宋_GB2312" w:eastAsia="仿宋_GB2312" w:cs="仿宋_GB2312"/>
                <w:b w:val="0"/>
                <w:i w:val="0"/>
                <w:snapToGrid/>
                <w:color w:val="000000" w:themeColor="text1"/>
                <w:kern w:val="0"/>
                <w:sz w:val="21"/>
                <w:szCs w:val="21"/>
                <w:u w:val="none"/>
                <w:lang w:val="en-US" w:eastAsia="zh-CN" w:bidi="ar-SA"/>
                <w14:textFill>
                  <w14:solidFill>
                    <w14:schemeClr w14:val="tx1"/>
                  </w14:solidFill>
                </w14:textFill>
              </w:rPr>
            </w:pPr>
            <w: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t>对拒绝、拖延提供与审计事项有关的资料，或者提供的资料不真实、不完整，或者拒绝、阻碍检查的行政处罚</w:t>
            </w:r>
          </w:p>
        </w:tc>
        <w:tc>
          <w:tcPr>
            <w:tcW w:w="868" w:type="dxa"/>
            <w:vAlign w:val="center"/>
          </w:tcPr>
          <w:p w14:paraId="0AF7FFC5">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_GB2312" w:hAnsi="仿宋_GB2312" w:eastAsia="仿宋_GB2312" w:cs="仿宋_GB2312"/>
                <w:b w:val="0"/>
                <w:i w:val="0"/>
                <w:snapToGrid/>
                <w:color w:val="000000" w:themeColor="text1"/>
                <w:kern w:val="0"/>
                <w:sz w:val="21"/>
                <w:szCs w:val="21"/>
                <w:u w:val="none"/>
                <w:lang w:val="en-US" w:eastAsia="zh-CN" w:bidi="ar-SA"/>
                <w14:textFill>
                  <w14:solidFill>
                    <w14:schemeClr w14:val="tx1"/>
                  </w14:solidFill>
                </w14:textFill>
              </w:rPr>
            </w:pPr>
            <w: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t xml:space="preserve">行政处罚 </w:t>
            </w:r>
          </w:p>
        </w:tc>
        <w:tc>
          <w:tcPr>
            <w:tcW w:w="7811" w:type="dxa"/>
            <w:vAlign w:val="center"/>
          </w:tcPr>
          <w:p w14:paraId="7A2E3CFF">
            <w:pPr>
              <w:keepNext w:val="0"/>
              <w:keepLines w:val="0"/>
              <w:pageBreakBefore w:val="0"/>
              <w:widowControl/>
              <w:kinsoku/>
              <w:wordWrap/>
              <w:overflowPunct/>
              <w:topLinePunct w:val="0"/>
              <w:autoSpaceDE/>
              <w:autoSpaceDN w:val="0"/>
              <w:bidi w:val="0"/>
              <w:adjustRightInd w:val="0"/>
              <w:snapToGrid w:val="0"/>
              <w:spacing w:line="240" w:lineRule="exact"/>
              <w:ind w:firstLine="420" w:firstLineChars="200"/>
              <w:jc w:val="left"/>
              <w:textAlignment w:val="cente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t>【法律】《中华人民共和国审计法》(1994年8月31日第八届全国人民代表大会常务委员会第九次会议通过</w:t>
            </w:r>
            <w:r>
              <w:rPr>
                <w:rFonts w:hint="eastAsia" w:ascii="仿宋_GB2312" w:hAnsi="仿宋_GB2312" w:eastAsia="仿宋_GB2312" w:cs="仿宋_GB2312"/>
                <w:b w:val="0"/>
                <w:i w:val="0"/>
                <w:snapToGrid/>
                <w:color w:val="000000" w:themeColor="text1"/>
                <w:sz w:val="21"/>
                <w:szCs w:val="21"/>
                <w:u w:val="none"/>
                <w:lang w:val="en-US" w:eastAsia="zh-CN"/>
                <w14:textFill>
                  <w14:solidFill>
                    <w14:schemeClr w14:val="tx1"/>
                  </w14:solidFill>
                </w14:textFill>
              </w:rPr>
              <w:t xml:space="preserve"> </w:t>
            </w:r>
            <w: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t>根据2006年2月28日第十届全国人民代表大会常务委员会第二十次会议《关于修改〈中华人民共和国审计法》的决定》第一次修正</w:t>
            </w:r>
            <w:r>
              <w:rPr>
                <w:rFonts w:hint="eastAsia" w:ascii="仿宋_GB2312" w:hAnsi="仿宋_GB2312" w:eastAsia="仿宋_GB2312" w:cs="仿宋_GB2312"/>
                <w:b w:val="0"/>
                <w:i w:val="0"/>
                <w:snapToGrid/>
                <w:color w:val="000000" w:themeColor="text1"/>
                <w:sz w:val="21"/>
                <w:szCs w:val="21"/>
                <w:u w:val="none"/>
                <w:lang w:val="en-US" w:eastAsia="zh-CN"/>
                <w14:textFill>
                  <w14:solidFill>
                    <w14:schemeClr w14:val="tx1"/>
                  </w14:solidFill>
                </w14:textFill>
              </w:rPr>
              <w:t xml:space="preserve"> </w:t>
            </w:r>
            <w: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t>根据2021年10月23日第十三届全国人民代表大会常务委员会第三十一次会议《关于修改〈中华人民共和国审计法》的决定》第二次修正)</w:t>
            </w:r>
          </w:p>
          <w:p w14:paraId="742557BB">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t xml:space="preserve">  </w:t>
            </w:r>
            <w:r>
              <w:rPr>
                <w:rFonts w:hint="eastAsia" w:ascii="仿宋_GB2312" w:hAnsi="仿宋_GB2312" w:eastAsia="仿宋_GB2312" w:cs="仿宋_GB2312"/>
                <w:b w:val="0"/>
                <w:i w:val="0"/>
                <w:snapToGrid/>
                <w:color w:val="000000" w:themeColor="text1"/>
                <w:sz w:val="21"/>
                <w:szCs w:val="21"/>
                <w:u w:val="none"/>
                <w:lang w:val="en-US" w:eastAsia="zh-CN"/>
                <w14:textFill>
                  <w14:solidFill>
                    <w14:schemeClr w14:val="tx1"/>
                  </w14:solidFill>
                </w14:textFill>
              </w:rPr>
              <w:t xml:space="preserve">  </w:t>
            </w:r>
            <w:bookmarkStart w:id="0" w:name="_GoBack"/>
            <w:bookmarkEnd w:id="0"/>
            <w: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t>第四十七条：“被审计单位违反本法规定，拒绝、拖延提供与审计事项有关的资料的，或者提供的资料不真实、不完整的，或者拒绝、阻碍检查、调查、核实有关情况的，由审计机关责令改正，可以通报批评，给予警告；拒不改正的，依法追究法律责任。</w:t>
            </w:r>
          </w:p>
          <w:p w14:paraId="62150628">
            <w:pPr>
              <w:keepNext w:val="0"/>
              <w:keepLines w:val="0"/>
              <w:pageBreakBefore w:val="0"/>
              <w:widowControl/>
              <w:kinsoku/>
              <w:wordWrap/>
              <w:overflowPunct/>
              <w:topLinePunct w:val="0"/>
              <w:autoSpaceDE/>
              <w:autoSpaceDN w:val="0"/>
              <w:bidi w:val="0"/>
              <w:adjustRightInd w:val="0"/>
              <w:snapToGrid w:val="0"/>
              <w:spacing w:line="240" w:lineRule="exact"/>
              <w:ind w:firstLine="420" w:firstLineChars="200"/>
              <w:jc w:val="left"/>
              <w:textAlignment w:val="cente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t>【行政法规】《中华人民共和国审计法实施条例》（1997年10月21日中华人民共和国国务院令第231号公布</w:t>
            </w:r>
            <w:r>
              <w:rPr>
                <w:rFonts w:hint="eastAsia" w:ascii="仿宋_GB2312" w:hAnsi="仿宋_GB2312" w:eastAsia="仿宋_GB2312" w:cs="仿宋_GB2312"/>
                <w:b w:val="0"/>
                <w:i w:val="0"/>
                <w:snapToGrid/>
                <w:color w:val="000000" w:themeColor="text1"/>
                <w:sz w:val="21"/>
                <w:szCs w:val="21"/>
                <w:u w:val="none"/>
                <w:lang w:val="en-US" w:eastAsia="zh-CN"/>
                <w14:textFill>
                  <w14:solidFill>
                    <w14:schemeClr w14:val="tx1"/>
                  </w14:solidFill>
                </w14:textFill>
              </w:rPr>
              <w:t xml:space="preserve"> </w:t>
            </w:r>
            <w: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t>2010年2月2日国务院第100次常务会议修订通过</w:t>
            </w:r>
            <w:r>
              <w:rPr>
                <w:rFonts w:hint="eastAsia" w:ascii="仿宋_GB2312" w:hAnsi="仿宋_GB2312" w:eastAsia="仿宋_GB2312" w:cs="仿宋_GB2312"/>
                <w:b w:val="0"/>
                <w:i w:val="0"/>
                <w:snapToGrid/>
                <w:color w:val="000000" w:themeColor="text1"/>
                <w:sz w:val="21"/>
                <w:szCs w:val="21"/>
                <w:u w:val="none"/>
                <w:lang w:val="en-US" w:eastAsia="zh-CN"/>
                <w14:textFill>
                  <w14:solidFill>
                    <w14:schemeClr w14:val="tx1"/>
                  </w14:solidFill>
                </w14:textFill>
              </w:rPr>
              <w:t xml:space="preserve"> </w:t>
            </w:r>
            <w: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t>2010年2月11日中华人民共和国国务院令第571号公布</w:t>
            </w:r>
            <w:r>
              <w:rPr>
                <w:rFonts w:hint="eastAsia" w:ascii="仿宋_GB2312" w:hAnsi="仿宋_GB2312" w:eastAsia="仿宋_GB2312" w:cs="仿宋_GB2312"/>
                <w:b w:val="0"/>
                <w:i w:val="0"/>
                <w:snapToGrid/>
                <w:color w:val="000000" w:themeColor="text1"/>
                <w:sz w:val="21"/>
                <w:szCs w:val="21"/>
                <w:u w:val="none"/>
                <w:lang w:val="en-US" w:eastAsia="zh-CN"/>
                <w14:textFill>
                  <w14:solidFill>
                    <w14:schemeClr w14:val="tx1"/>
                  </w14:solidFill>
                </w14:textFill>
              </w:rPr>
              <w:t xml:space="preserve"> </w:t>
            </w:r>
            <w: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t>自2010年5月1日起施行）</w:t>
            </w:r>
          </w:p>
          <w:p w14:paraId="5709C7D6">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_GB2312" w:hAnsi="仿宋_GB2312" w:eastAsia="仿宋_GB2312" w:cs="仿宋_GB2312"/>
                <w:b w:val="0"/>
                <w:i w:val="0"/>
                <w:snapToGrid/>
                <w:color w:val="000000" w:themeColor="text1"/>
                <w:kern w:val="0"/>
                <w:sz w:val="21"/>
                <w:szCs w:val="21"/>
                <w:u w:val="none"/>
                <w:lang w:val="en-US" w:eastAsia="zh-CN" w:bidi="ar-SA"/>
                <w14:textFill>
                  <w14:solidFill>
                    <w14:schemeClr w14:val="tx1"/>
                  </w14:solidFill>
                </w14:textFill>
              </w:rPr>
            </w:pPr>
            <w: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t xml:space="preserve">    第四十七条 “被审计单位违反审计法和本条例的规定，拒绝、拖延提供与审计事项有关的资料，或者提供的资料不真实、不完整，或者拒绝、阻碍检查的，由审计机关责令改正，可以通报批评，给予警告；拒不改正的，对被审计单位可以处5万元以下的罚款，对直接负责的主管人员和其他直接责任人员，可以处2万元以下的罚款，审计机关认为应当给予处分的，向有关主管机关、单位提出给予处分的建议；构成犯罪的，依法追究刑事责任。”</w:t>
            </w:r>
          </w:p>
        </w:tc>
        <w:tc>
          <w:tcPr>
            <w:tcW w:w="696" w:type="dxa"/>
            <w:vAlign w:val="center"/>
          </w:tcPr>
          <w:p w14:paraId="2780676F">
            <w:pPr>
              <w:pStyle w:val="8"/>
              <w:keepNext w:val="0"/>
              <w:keepLines w:val="0"/>
              <w:pageBreakBefore w:val="0"/>
              <w:widowControl/>
              <w:wordWrap/>
              <w:overflowPunct/>
              <w:topLinePunct w:val="0"/>
              <w:autoSpaceDN w:val="0"/>
              <w:bidi w:val="0"/>
              <w:adjustRightInd w:val="0"/>
              <w:snapToGrid w:val="0"/>
              <w:spacing w:line="240" w:lineRule="exact"/>
              <w:jc w:val="center"/>
              <w:rPr>
                <w:rFonts w:hint="eastAsia" w:ascii="仿宋_GB2312" w:hAnsi="仿宋_GB2312" w:eastAsia="仿宋_GB2312" w:cs="仿宋_GB2312"/>
                <w:snapToGrid w:val="0"/>
                <w:color w:val="000000"/>
                <w:kern w:val="0"/>
                <w:sz w:val="21"/>
                <w:szCs w:val="21"/>
                <w:lang w:val="en-US" w:eastAsia="zh-CN" w:bidi="ar-SA"/>
              </w:rPr>
            </w:pPr>
            <w:r>
              <w:rPr>
                <w:rFonts w:hint="eastAsia" w:ascii="仿宋_GB2312" w:hAnsi="仿宋_GB2312" w:eastAsia="仿宋_GB2312" w:cs="仿宋_GB2312"/>
                <w:sz w:val="21"/>
                <w:szCs w:val="21"/>
                <w:lang w:eastAsia="zh-CN"/>
              </w:rPr>
              <w:t>陵川县审计局</w:t>
            </w:r>
          </w:p>
        </w:tc>
        <w:tc>
          <w:tcPr>
            <w:tcW w:w="965" w:type="dxa"/>
            <w:vAlign w:val="center"/>
          </w:tcPr>
          <w:p w14:paraId="599504E3">
            <w:pPr>
              <w:pStyle w:val="8"/>
              <w:keepNext w:val="0"/>
              <w:keepLines w:val="0"/>
              <w:pageBreakBefore w:val="0"/>
              <w:widowControl/>
              <w:wordWrap/>
              <w:overflowPunct/>
              <w:topLinePunct w:val="0"/>
              <w:autoSpaceDN w:val="0"/>
              <w:bidi w:val="0"/>
              <w:adjustRightInd w:val="0"/>
              <w:snapToGrid w:val="0"/>
              <w:spacing w:line="240" w:lineRule="exact"/>
              <w:jc w:val="center"/>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eastAsia="zh-CN"/>
              </w:rPr>
              <w:t>陵川县审计局</w:t>
            </w:r>
          </w:p>
        </w:tc>
        <w:tc>
          <w:tcPr>
            <w:tcW w:w="784" w:type="dxa"/>
            <w:vAlign w:val="top"/>
          </w:tcPr>
          <w:p w14:paraId="3630F80B">
            <w:pPr>
              <w:pStyle w:val="8"/>
              <w:rPr>
                <w:rFonts w:hint="eastAsia" w:ascii="仿宋_GB2312" w:hAnsi="仿宋_GB2312" w:eastAsia="仿宋_GB2312" w:cs="仿宋_GB2312"/>
                <w:sz w:val="21"/>
                <w:szCs w:val="21"/>
              </w:rPr>
            </w:pPr>
          </w:p>
        </w:tc>
      </w:tr>
      <w:tr w14:paraId="3F61302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0" w:hRule="atLeast"/>
        </w:trPr>
        <w:tc>
          <w:tcPr>
            <w:tcW w:w="840" w:type="dxa"/>
            <w:vAlign w:val="center"/>
          </w:tcPr>
          <w:p w14:paraId="4C7880C2">
            <w:pPr>
              <w:keepNext w:val="0"/>
              <w:keepLines w:val="0"/>
              <w:pageBreakBefore w:val="0"/>
              <w:widowControl/>
              <w:kinsoku/>
              <w:wordWrap/>
              <w:overflowPunct/>
              <w:topLinePunct w:val="0"/>
              <w:autoSpaceDE/>
              <w:autoSpaceDN w:val="0"/>
              <w:bidi w:val="0"/>
              <w:adjustRightInd w:val="0"/>
              <w:snapToGrid w:val="0"/>
              <w:spacing w:line="240" w:lineRule="exact"/>
              <w:jc w:val="center"/>
              <w:textAlignment w:val="center"/>
              <w:rPr>
                <w:rFonts w:hint="eastAsia" w:ascii="仿宋_GB2312" w:hAnsi="仿宋_GB2312" w:eastAsia="仿宋_GB2312" w:cs="仿宋_GB2312"/>
                <w:b w:val="0"/>
                <w:i w:val="0"/>
                <w:snapToGrid/>
                <w:color w:val="000000" w:themeColor="text1"/>
                <w:kern w:val="0"/>
                <w:sz w:val="21"/>
                <w:szCs w:val="21"/>
                <w:u w:val="none"/>
                <w:lang w:val="en-US" w:eastAsia="zh-CN" w:bidi="ar-SA"/>
                <w14:textFill>
                  <w14:solidFill>
                    <w14:schemeClr w14:val="tx1"/>
                  </w14:solidFill>
                </w14:textFill>
              </w:rPr>
            </w:pPr>
            <w:r>
              <w:rPr>
                <w:rFonts w:hint="eastAsia" w:ascii="仿宋_GB2312" w:hAnsi="仿宋_GB2312" w:eastAsia="仿宋_GB2312" w:cs="仿宋_GB2312"/>
                <w:b w:val="0"/>
                <w:i w:val="0"/>
                <w:snapToGrid/>
                <w:color w:val="000000" w:themeColor="text1"/>
                <w:sz w:val="21"/>
                <w:szCs w:val="21"/>
                <w:u w:val="none"/>
                <w:lang w:val="en-US" w:eastAsia="zh-CN"/>
                <w14:textFill>
                  <w14:solidFill>
                    <w14:schemeClr w14:val="tx1"/>
                  </w14:solidFill>
                </w14:textFill>
              </w:rPr>
              <w:t>2</w:t>
            </w:r>
          </w:p>
        </w:tc>
        <w:tc>
          <w:tcPr>
            <w:tcW w:w="2710" w:type="dxa"/>
            <w:vAlign w:val="center"/>
          </w:tcPr>
          <w:p w14:paraId="3B4157B1">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_GB2312" w:hAnsi="仿宋_GB2312" w:eastAsia="仿宋_GB2312" w:cs="仿宋_GB2312"/>
                <w:b w:val="0"/>
                <w:i w:val="0"/>
                <w:snapToGrid/>
                <w:color w:val="000000" w:themeColor="text1"/>
                <w:kern w:val="0"/>
                <w:sz w:val="21"/>
                <w:szCs w:val="21"/>
                <w:u w:val="none"/>
                <w:lang w:val="en-US" w:eastAsia="zh-CN" w:bidi="ar-SA"/>
                <w14:textFill>
                  <w14:solidFill>
                    <w14:schemeClr w14:val="tx1"/>
                  </w14:solidFill>
                </w14:textFill>
              </w:rPr>
            </w:pPr>
            <w: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t>对违反国家规定的财务收支行为的行政处罚</w:t>
            </w:r>
          </w:p>
        </w:tc>
        <w:tc>
          <w:tcPr>
            <w:tcW w:w="868" w:type="dxa"/>
            <w:vAlign w:val="center"/>
          </w:tcPr>
          <w:p w14:paraId="5323F315">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_GB2312" w:hAnsi="仿宋_GB2312" w:eastAsia="仿宋_GB2312" w:cs="仿宋_GB2312"/>
                <w:b w:val="0"/>
                <w:i w:val="0"/>
                <w:snapToGrid/>
                <w:color w:val="000000" w:themeColor="text1"/>
                <w:kern w:val="0"/>
                <w:sz w:val="21"/>
                <w:szCs w:val="21"/>
                <w:u w:val="none"/>
                <w:lang w:val="en-US" w:eastAsia="zh-CN" w:bidi="ar-SA"/>
                <w14:textFill>
                  <w14:solidFill>
                    <w14:schemeClr w14:val="tx1"/>
                  </w14:solidFill>
                </w14:textFill>
              </w:rPr>
            </w:pPr>
            <w: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t xml:space="preserve">行政处罚 </w:t>
            </w:r>
          </w:p>
        </w:tc>
        <w:tc>
          <w:tcPr>
            <w:tcW w:w="7811" w:type="dxa"/>
            <w:vAlign w:val="center"/>
          </w:tcPr>
          <w:p w14:paraId="5EA18946">
            <w:pPr>
              <w:keepNext w:val="0"/>
              <w:keepLines w:val="0"/>
              <w:pageBreakBefore w:val="0"/>
              <w:widowControl/>
              <w:kinsoku/>
              <w:wordWrap/>
              <w:overflowPunct/>
              <w:topLinePunct w:val="0"/>
              <w:autoSpaceDE/>
              <w:autoSpaceDN w:val="0"/>
              <w:bidi w:val="0"/>
              <w:adjustRightInd w:val="0"/>
              <w:snapToGrid w:val="0"/>
              <w:spacing w:line="240" w:lineRule="exact"/>
              <w:ind w:firstLine="420" w:firstLineChars="200"/>
              <w:jc w:val="left"/>
              <w:textAlignment w:val="cente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t>【法律】《中华人民共和国审计法》(1994年8月31日第八届全国人民代表大会常务委员会第九次会议通过</w:t>
            </w:r>
            <w:r>
              <w:rPr>
                <w:rFonts w:hint="eastAsia" w:ascii="仿宋_GB2312" w:hAnsi="仿宋_GB2312" w:eastAsia="仿宋_GB2312" w:cs="仿宋_GB2312"/>
                <w:b w:val="0"/>
                <w:i w:val="0"/>
                <w:snapToGrid/>
                <w:color w:val="000000" w:themeColor="text1"/>
                <w:sz w:val="21"/>
                <w:szCs w:val="21"/>
                <w:u w:val="none"/>
                <w:lang w:val="en-US" w:eastAsia="zh-CN"/>
                <w14:textFill>
                  <w14:solidFill>
                    <w14:schemeClr w14:val="tx1"/>
                  </w14:solidFill>
                </w14:textFill>
              </w:rPr>
              <w:t xml:space="preserve"> </w:t>
            </w:r>
            <w: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t>根据2006年2月28日第十届全国人民代表大会常务委员会第二十次会议《关于修改〈中华人民共和国审计法》的决定》第一次修正</w:t>
            </w:r>
            <w:r>
              <w:rPr>
                <w:rFonts w:hint="eastAsia" w:ascii="仿宋_GB2312" w:hAnsi="仿宋_GB2312" w:eastAsia="仿宋_GB2312" w:cs="仿宋_GB2312"/>
                <w:b w:val="0"/>
                <w:i w:val="0"/>
                <w:snapToGrid/>
                <w:color w:val="000000" w:themeColor="text1"/>
                <w:sz w:val="21"/>
                <w:szCs w:val="21"/>
                <w:u w:val="none"/>
                <w:lang w:val="en-US" w:eastAsia="zh-CN"/>
                <w14:textFill>
                  <w14:solidFill>
                    <w14:schemeClr w14:val="tx1"/>
                  </w14:solidFill>
                </w14:textFill>
              </w:rPr>
              <w:t xml:space="preserve"> </w:t>
            </w:r>
            <w: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t>根据2021年10月23日第十三届全国人民代表大会常务委员会第三十一次会议《关于修改〈中华人民共和国审计法》的决定》第二次修正)</w:t>
            </w:r>
          </w:p>
          <w:p w14:paraId="08853EFE">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t xml:space="preserve">    第五十条：“对被审计单位违反国家规定的财务收支行为,审计机关、人民政府或者有关主管机关、单位在法定职权范围内,依照法律、行政法规的规定,区别情况采取前条规定的处理措施,并可以依法给予处罚。”</w:t>
            </w:r>
          </w:p>
          <w:p w14:paraId="187CC45A">
            <w:pPr>
              <w:keepNext w:val="0"/>
              <w:keepLines w:val="0"/>
              <w:pageBreakBefore w:val="0"/>
              <w:widowControl/>
              <w:kinsoku/>
              <w:wordWrap/>
              <w:overflowPunct/>
              <w:topLinePunct w:val="0"/>
              <w:autoSpaceDE/>
              <w:autoSpaceDN w:val="0"/>
              <w:bidi w:val="0"/>
              <w:adjustRightInd w:val="0"/>
              <w:snapToGrid w:val="0"/>
              <w:spacing w:line="240" w:lineRule="exact"/>
              <w:ind w:firstLine="420" w:firstLineChars="200"/>
              <w:jc w:val="left"/>
              <w:textAlignment w:val="cente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t>【行政法规】《中华人民共和国审计法实施条例》（1997年10月21日中华人民共和国国务院令第231号公布</w:t>
            </w:r>
            <w:r>
              <w:rPr>
                <w:rFonts w:hint="eastAsia" w:ascii="仿宋_GB2312" w:hAnsi="仿宋_GB2312" w:eastAsia="仿宋_GB2312" w:cs="仿宋_GB2312"/>
                <w:b w:val="0"/>
                <w:i w:val="0"/>
                <w:snapToGrid/>
                <w:color w:val="000000" w:themeColor="text1"/>
                <w:sz w:val="21"/>
                <w:szCs w:val="21"/>
                <w:u w:val="none"/>
                <w:lang w:val="en-US" w:eastAsia="zh-CN"/>
                <w14:textFill>
                  <w14:solidFill>
                    <w14:schemeClr w14:val="tx1"/>
                  </w14:solidFill>
                </w14:textFill>
              </w:rPr>
              <w:t xml:space="preserve"> </w:t>
            </w:r>
            <w: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t>2010年2月2日国务院第100次常务会议修订通过</w:t>
            </w:r>
            <w:r>
              <w:rPr>
                <w:rFonts w:hint="eastAsia" w:ascii="仿宋_GB2312" w:hAnsi="仿宋_GB2312" w:eastAsia="仿宋_GB2312" w:cs="仿宋_GB2312"/>
                <w:b w:val="0"/>
                <w:i w:val="0"/>
                <w:snapToGrid/>
                <w:color w:val="000000" w:themeColor="text1"/>
                <w:sz w:val="21"/>
                <w:szCs w:val="21"/>
                <w:u w:val="none"/>
                <w:lang w:val="en-US" w:eastAsia="zh-CN"/>
                <w14:textFill>
                  <w14:solidFill>
                    <w14:schemeClr w14:val="tx1"/>
                  </w14:solidFill>
                </w14:textFill>
              </w:rPr>
              <w:t xml:space="preserve"> </w:t>
            </w:r>
            <w: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t>2010年2月11日中华人民共和国国务院令第571号公布</w:t>
            </w:r>
            <w:r>
              <w:rPr>
                <w:rFonts w:hint="eastAsia" w:ascii="仿宋_GB2312" w:hAnsi="仿宋_GB2312" w:eastAsia="仿宋_GB2312" w:cs="仿宋_GB2312"/>
                <w:b w:val="0"/>
                <w:i w:val="0"/>
                <w:snapToGrid/>
                <w:color w:val="000000" w:themeColor="text1"/>
                <w:sz w:val="21"/>
                <w:szCs w:val="21"/>
                <w:u w:val="none"/>
                <w:lang w:val="en-US" w:eastAsia="zh-CN"/>
                <w14:textFill>
                  <w14:solidFill>
                    <w14:schemeClr w14:val="tx1"/>
                  </w14:solidFill>
                </w14:textFill>
              </w:rPr>
              <w:t xml:space="preserve"> </w:t>
            </w:r>
            <w: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t>自2010年5月1日起施行）</w:t>
            </w:r>
          </w:p>
          <w:p w14:paraId="7EFBB888">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t xml:space="preserve">    第四十九条 “对被审计单位违反国家规定的财务收支行为，审计机关在法定职权范围内，区别情况采取审计法第四十五条规定的处理措施，可以通报批评，给予警告；有违法所得的，没收违法所得，并处违法所得1倍以上5倍以下的罚款；没有违法所得的，可以处5万元以下的罚款；对直接负责的主管人员和其他直接责任人员，可以处2万元以下的罚款，审计机关认为应当给予处分的，向有关主管机关、单位提出给予处分的建议；构成犯罪的，依法追究刑事责任。</w:t>
            </w:r>
          </w:p>
          <w:p w14:paraId="66778699">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_GB2312" w:hAnsi="仿宋_GB2312" w:eastAsia="仿宋_GB2312" w:cs="仿宋_GB2312"/>
                <w:b w:val="0"/>
                <w:i w:val="0"/>
                <w:snapToGrid/>
                <w:color w:val="000000" w:themeColor="text1"/>
                <w:kern w:val="0"/>
                <w:sz w:val="21"/>
                <w:szCs w:val="21"/>
                <w:u w:val="none"/>
                <w:lang w:val="en-US" w:eastAsia="zh-CN" w:bidi="ar-SA"/>
                <w14:textFill>
                  <w14:solidFill>
                    <w14:schemeClr w14:val="tx1"/>
                  </w14:solidFill>
                </w14:textFill>
              </w:rPr>
            </w:pPr>
            <w: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t xml:space="preserve">    法律、行政法规对被审计单位违反国家规定的财务收支行为处理、处罚另有规定的，从其规定。”</w:t>
            </w:r>
          </w:p>
        </w:tc>
        <w:tc>
          <w:tcPr>
            <w:tcW w:w="696" w:type="dxa"/>
            <w:vAlign w:val="center"/>
          </w:tcPr>
          <w:p w14:paraId="365B42F1">
            <w:pPr>
              <w:pStyle w:val="8"/>
              <w:keepNext w:val="0"/>
              <w:keepLines w:val="0"/>
              <w:pageBreakBefore w:val="0"/>
              <w:widowControl/>
              <w:wordWrap/>
              <w:overflowPunct/>
              <w:topLinePunct w:val="0"/>
              <w:autoSpaceDN w:val="0"/>
              <w:bidi w:val="0"/>
              <w:adjustRightInd w:val="0"/>
              <w:snapToGrid w:val="0"/>
              <w:spacing w:line="240" w:lineRule="exact"/>
              <w:jc w:val="center"/>
              <w:rPr>
                <w:rFonts w:hint="eastAsia" w:ascii="仿宋_GB2312" w:hAnsi="仿宋_GB2312" w:eastAsia="仿宋_GB2312" w:cs="仿宋_GB2312"/>
                <w:snapToGrid w:val="0"/>
                <w:color w:val="000000"/>
                <w:kern w:val="0"/>
                <w:sz w:val="21"/>
                <w:szCs w:val="21"/>
                <w:lang w:val="en-US" w:eastAsia="zh-CN" w:bidi="ar-SA"/>
              </w:rPr>
            </w:pPr>
            <w:r>
              <w:rPr>
                <w:rFonts w:hint="eastAsia" w:ascii="仿宋_GB2312" w:hAnsi="仿宋_GB2312" w:eastAsia="仿宋_GB2312" w:cs="仿宋_GB2312"/>
                <w:sz w:val="21"/>
                <w:szCs w:val="21"/>
                <w:lang w:eastAsia="zh-CN"/>
              </w:rPr>
              <w:t>陵川县审计局</w:t>
            </w:r>
          </w:p>
        </w:tc>
        <w:tc>
          <w:tcPr>
            <w:tcW w:w="965" w:type="dxa"/>
            <w:vAlign w:val="center"/>
          </w:tcPr>
          <w:p w14:paraId="63BECE09">
            <w:pPr>
              <w:pStyle w:val="8"/>
              <w:keepNext w:val="0"/>
              <w:keepLines w:val="0"/>
              <w:pageBreakBefore w:val="0"/>
              <w:widowControl/>
              <w:wordWrap/>
              <w:overflowPunct/>
              <w:topLinePunct w:val="0"/>
              <w:autoSpaceDN w:val="0"/>
              <w:bidi w:val="0"/>
              <w:adjustRightInd w:val="0"/>
              <w:snapToGrid w:val="0"/>
              <w:spacing w:line="240" w:lineRule="exact"/>
              <w:jc w:val="center"/>
              <w:rPr>
                <w:rFonts w:hint="eastAsia" w:ascii="仿宋_GB2312" w:hAnsi="仿宋_GB2312" w:eastAsia="仿宋_GB2312" w:cs="仿宋_GB2312"/>
                <w:snapToGrid w:val="0"/>
                <w:color w:val="000000"/>
                <w:kern w:val="0"/>
                <w:sz w:val="21"/>
                <w:szCs w:val="21"/>
                <w:lang w:val="en-US" w:eastAsia="zh-CN" w:bidi="ar-SA"/>
              </w:rPr>
            </w:pPr>
            <w:r>
              <w:rPr>
                <w:rFonts w:hint="eastAsia" w:ascii="仿宋_GB2312" w:hAnsi="仿宋_GB2312" w:eastAsia="仿宋_GB2312" w:cs="仿宋_GB2312"/>
                <w:sz w:val="21"/>
                <w:szCs w:val="21"/>
                <w:lang w:eastAsia="zh-CN"/>
              </w:rPr>
              <w:t>陵川县审计局</w:t>
            </w:r>
          </w:p>
        </w:tc>
        <w:tc>
          <w:tcPr>
            <w:tcW w:w="784" w:type="dxa"/>
            <w:vAlign w:val="top"/>
          </w:tcPr>
          <w:p w14:paraId="276A037F">
            <w:pPr>
              <w:pStyle w:val="8"/>
              <w:rPr>
                <w:rFonts w:hint="eastAsia" w:ascii="仿宋_GB2312" w:hAnsi="仿宋_GB2312" w:eastAsia="仿宋_GB2312" w:cs="仿宋_GB2312"/>
                <w:sz w:val="21"/>
                <w:szCs w:val="21"/>
              </w:rPr>
            </w:pPr>
          </w:p>
        </w:tc>
      </w:tr>
      <w:tr w14:paraId="493FDDF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81" w:hRule="atLeast"/>
        </w:trPr>
        <w:tc>
          <w:tcPr>
            <w:tcW w:w="840" w:type="dxa"/>
            <w:vAlign w:val="center"/>
          </w:tcPr>
          <w:p w14:paraId="32CF2B79">
            <w:pPr>
              <w:keepNext w:val="0"/>
              <w:keepLines w:val="0"/>
              <w:pageBreakBefore w:val="0"/>
              <w:widowControl/>
              <w:kinsoku/>
              <w:wordWrap/>
              <w:overflowPunct/>
              <w:topLinePunct w:val="0"/>
              <w:autoSpaceDE/>
              <w:autoSpaceDN w:val="0"/>
              <w:bidi w:val="0"/>
              <w:adjustRightInd w:val="0"/>
              <w:snapToGrid w:val="0"/>
              <w:spacing w:line="240" w:lineRule="exact"/>
              <w:jc w:val="center"/>
              <w:textAlignment w:val="center"/>
              <w:rPr>
                <w:rFonts w:hint="eastAsia" w:ascii="仿宋_GB2312" w:hAnsi="仿宋_GB2312" w:eastAsia="仿宋_GB2312" w:cs="仿宋_GB2312"/>
                <w:b w:val="0"/>
                <w:i w:val="0"/>
                <w:snapToGrid/>
                <w:color w:val="000000" w:themeColor="text1"/>
                <w:kern w:val="0"/>
                <w:sz w:val="21"/>
                <w:szCs w:val="21"/>
                <w:u w:val="none"/>
                <w:lang w:val="en-US" w:eastAsia="zh-CN" w:bidi="ar-SA"/>
                <w14:textFill>
                  <w14:solidFill>
                    <w14:schemeClr w14:val="tx1"/>
                  </w14:solidFill>
                </w14:textFill>
              </w:rPr>
            </w:pPr>
            <w:r>
              <w:rPr>
                <w:rFonts w:hint="eastAsia" w:ascii="仿宋_GB2312" w:hAnsi="仿宋_GB2312" w:eastAsia="仿宋_GB2312" w:cs="仿宋_GB2312"/>
                <w:b w:val="0"/>
                <w:i w:val="0"/>
                <w:snapToGrid/>
                <w:color w:val="000000" w:themeColor="text1"/>
                <w:sz w:val="21"/>
                <w:szCs w:val="21"/>
                <w:u w:val="none"/>
                <w:lang w:val="en-US" w:eastAsia="zh-CN"/>
                <w14:textFill>
                  <w14:solidFill>
                    <w14:schemeClr w14:val="tx1"/>
                  </w14:solidFill>
                </w14:textFill>
              </w:rPr>
              <w:t>3</w:t>
            </w:r>
          </w:p>
        </w:tc>
        <w:tc>
          <w:tcPr>
            <w:tcW w:w="2710" w:type="dxa"/>
            <w:vAlign w:val="center"/>
          </w:tcPr>
          <w:p w14:paraId="68E70C0D">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_GB2312" w:hAnsi="仿宋_GB2312" w:eastAsia="仿宋_GB2312" w:cs="仿宋_GB2312"/>
                <w:b w:val="0"/>
                <w:i w:val="0"/>
                <w:snapToGrid/>
                <w:color w:val="000000" w:themeColor="text1"/>
                <w:kern w:val="0"/>
                <w:sz w:val="21"/>
                <w:szCs w:val="21"/>
                <w:u w:val="none"/>
                <w:lang w:val="en-US" w:eastAsia="zh-CN" w:bidi="ar-SA"/>
                <w14:textFill>
                  <w14:solidFill>
                    <w14:schemeClr w14:val="tx1"/>
                  </w14:solidFill>
                </w14:textFill>
              </w:rPr>
            </w:pPr>
            <w: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t>对被审计单位意图转移、隐匿、篡改、毁损的会计凭证等资料和违反国家规定取得的资产进行封存的行政强制</w:t>
            </w:r>
          </w:p>
        </w:tc>
        <w:tc>
          <w:tcPr>
            <w:tcW w:w="868" w:type="dxa"/>
            <w:vAlign w:val="center"/>
          </w:tcPr>
          <w:p w14:paraId="75CE9827">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_GB2312" w:hAnsi="仿宋_GB2312" w:eastAsia="仿宋_GB2312" w:cs="仿宋_GB2312"/>
                <w:b w:val="0"/>
                <w:i w:val="0"/>
                <w:snapToGrid/>
                <w:color w:val="000000" w:themeColor="text1"/>
                <w:kern w:val="0"/>
                <w:sz w:val="21"/>
                <w:szCs w:val="21"/>
                <w:u w:val="none"/>
                <w:lang w:val="en-US" w:eastAsia="zh-CN" w:bidi="ar-SA"/>
                <w14:textFill>
                  <w14:solidFill>
                    <w14:schemeClr w14:val="tx1"/>
                  </w14:solidFill>
                </w14:textFill>
              </w:rPr>
            </w:pPr>
            <w: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t xml:space="preserve">行政强制 </w:t>
            </w:r>
          </w:p>
        </w:tc>
        <w:tc>
          <w:tcPr>
            <w:tcW w:w="7811" w:type="dxa"/>
            <w:vAlign w:val="center"/>
          </w:tcPr>
          <w:p w14:paraId="37460F9B">
            <w:pPr>
              <w:keepNext w:val="0"/>
              <w:keepLines w:val="0"/>
              <w:pageBreakBefore w:val="0"/>
              <w:widowControl/>
              <w:kinsoku/>
              <w:wordWrap/>
              <w:overflowPunct/>
              <w:topLinePunct w:val="0"/>
              <w:autoSpaceDE/>
              <w:autoSpaceDN w:val="0"/>
              <w:bidi w:val="0"/>
              <w:adjustRightInd w:val="0"/>
              <w:snapToGrid w:val="0"/>
              <w:spacing w:line="240" w:lineRule="exact"/>
              <w:ind w:firstLine="420" w:firstLineChars="200"/>
              <w:jc w:val="left"/>
              <w:textAlignment w:val="cente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t>【法律】《中华人民共和国审计法》(1994年8月31日第八届全国人民代表大会常务委员会第九次会议通过</w:t>
            </w:r>
            <w:r>
              <w:rPr>
                <w:rFonts w:hint="eastAsia" w:ascii="仿宋_GB2312" w:hAnsi="仿宋_GB2312" w:eastAsia="仿宋_GB2312" w:cs="仿宋_GB2312"/>
                <w:b w:val="0"/>
                <w:i w:val="0"/>
                <w:snapToGrid/>
                <w:color w:val="000000" w:themeColor="text1"/>
                <w:sz w:val="21"/>
                <w:szCs w:val="21"/>
                <w:u w:val="none"/>
                <w:lang w:val="en-US" w:eastAsia="zh-CN"/>
                <w14:textFill>
                  <w14:solidFill>
                    <w14:schemeClr w14:val="tx1"/>
                  </w14:solidFill>
                </w14:textFill>
              </w:rPr>
              <w:t xml:space="preserve"> </w:t>
            </w:r>
            <w: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t>根据2006年2月28日第十届全国人民代表大会常务委员会第二十次会议《关于修改〈中华人民共和国审计法》的决定》第一次修正</w:t>
            </w:r>
            <w:r>
              <w:rPr>
                <w:rFonts w:hint="eastAsia" w:ascii="仿宋_GB2312" w:hAnsi="仿宋_GB2312" w:eastAsia="仿宋_GB2312" w:cs="仿宋_GB2312"/>
                <w:b w:val="0"/>
                <w:i w:val="0"/>
                <w:snapToGrid/>
                <w:color w:val="000000" w:themeColor="text1"/>
                <w:sz w:val="21"/>
                <w:szCs w:val="21"/>
                <w:u w:val="none"/>
                <w:lang w:val="en-US" w:eastAsia="zh-CN"/>
                <w14:textFill>
                  <w14:solidFill>
                    <w14:schemeClr w14:val="tx1"/>
                  </w14:solidFill>
                </w14:textFill>
              </w:rPr>
              <w:t xml:space="preserve"> </w:t>
            </w:r>
            <w: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t>根据2021年10月23日第十三届全国人民代表大会常务委员会第三十一次会议《关于修改〈中华人民共和国审计法》的决定》第二次修正)</w:t>
            </w:r>
          </w:p>
          <w:p w14:paraId="40AADC6F">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t xml:space="preserve">    第三十八条第一款 审计机关进行审计时，被审计单位不得转移、隐匿、篡改、毁弃会计凭证、会计账簿、财务会计报告以及其他与财政收支或者财务收支有关的资料，不得转移、隐匿所持有的违反国家规定取得的资产。 </w:t>
            </w:r>
          </w:p>
          <w:p w14:paraId="4E4FB875">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t xml:space="preserve">    第二款 审计机关对被审计单位违反前款规定的行为，有权予以制止；必要时，经县级以上人民政府审计机关负责人批准，有权封存有关资料和违反国家规定取得的资产；对其中在金融机构的有关存款需要予以冻结的，应当向人民法院提出申请。</w:t>
            </w:r>
          </w:p>
          <w:p w14:paraId="5FA952FD">
            <w:pPr>
              <w:keepNext w:val="0"/>
              <w:keepLines w:val="0"/>
              <w:pageBreakBefore w:val="0"/>
              <w:widowControl/>
              <w:kinsoku/>
              <w:wordWrap/>
              <w:overflowPunct/>
              <w:topLinePunct w:val="0"/>
              <w:autoSpaceDE/>
              <w:autoSpaceDN w:val="0"/>
              <w:bidi w:val="0"/>
              <w:adjustRightInd w:val="0"/>
              <w:snapToGrid w:val="0"/>
              <w:spacing w:line="240" w:lineRule="exact"/>
              <w:ind w:firstLine="420" w:firstLineChars="200"/>
              <w:jc w:val="left"/>
              <w:textAlignment w:val="cente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t>【行政法规】《中华人民共和国审计法实施条例》《中华人民共和国审计法实施条例》（1997年10月21日中华人民共和国国务院令第231号公布</w:t>
            </w:r>
            <w:r>
              <w:rPr>
                <w:rFonts w:hint="eastAsia" w:ascii="仿宋_GB2312" w:hAnsi="仿宋_GB2312" w:eastAsia="仿宋_GB2312" w:cs="仿宋_GB2312"/>
                <w:b w:val="0"/>
                <w:i w:val="0"/>
                <w:snapToGrid/>
                <w:color w:val="000000" w:themeColor="text1"/>
                <w:sz w:val="21"/>
                <w:szCs w:val="21"/>
                <w:u w:val="none"/>
                <w:lang w:val="en-US" w:eastAsia="zh-CN"/>
                <w14:textFill>
                  <w14:solidFill>
                    <w14:schemeClr w14:val="tx1"/>
                  </w14:solidFill>
                </w14:textFill>
              </w:rPr>
              <w:t xml:space="preserve"> </w:t>
            </w:r>
            <w: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t>2010年2月2日国务院第100次常务会议修订通过</w:t>
            </w:r>
            <w:r>
              <w:rPr>
                <w:rFonts w:hint="eastAsia" w:ascii="仿宋_GB2312" w:hAnsi="仿宋_GB2312" w:eastAsia="仿宋_GB2312" w:cs="仿宋_GB2312"/>
                <w:b w:val="0"/>
                <w:i w:val="0"/>
                <w:snapToGrid/>
                <w:color w:val="000000" w:themeColor="text1"/>
                <w:sz w:val="21"/>
                <w:szCs w:val="21"/>
                <w:u w:val="none"/>
                <w:lang w:val="en-US" w:eastAsia="zh-CN"/>
                <w14:textFill>
                  <w14:solidFill>
                    <w14:schemeClr w14:val="tx1"/>
                  </w14:solidFill>
                </w14:textFill>
              </w:rPr>
              <w:t xml:space="preserve"> </w:t>
            </w:r>
            <w: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t>2010年2月11日中华人民共和国国务院令第571号公布</w:t>
            </w:r>
            <w:r>
              <w:rPr>
                <w:rFonts w:hint="eastAsia" w:ascii="仿宋_GB2312" w:hAnsi="仿宋_GB2312" w:eastAsia="仿宋_GB2312" w:cs="仿宋_GB2312"/>
                <w:b w:val="0"/>
                <w:i w:val="0"/>
                <w:snapToGrid/>
                <w:color w:val="000000" w:themeColor="text1"/>
                <w:sz w:val="21"/>
                <w:szCs w:val="21"/>
                <w:u w:val="none"/>
                <w:lang w:val="en-US" w:eastAsia="zh-CN"/>
                <w14:textFill>
                  <w14:solidFill>
                    <w14:schemeClr w14:val="tx1"/>
                  </w14:solidFill>
                </w14:textFill>
              </w:rPr>
              <w:t xml:space="preserve"> </w:t>
            </w:r>
            <w: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t>自2010年5月1日起施行）</w:t>
            </w:r>
          </w:p>
          <w:p w14:paraId="6ECA5EF0">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t xml:space="preserve">    第三十二条 审计机关依照审计法第三十四条规定封存被审计单位有关资料和违反国家规定取得的资产的，应当持县级以上人民政府审计机关负责人签发的封存通知书，并在依法收集与审计事项相关的证明材料或者采取其他措施后解除封存。封存的期限为7日以内；有特殊情况需要延长的，经县级以上人民政府审计机关负责人批准，可以适当延长，但延长的期限不得超过7日。 </w:t>
            </w:r>
          </w:p>
          <w:p w14:paraId="3C665655">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_GB2312" w:hAnsi="仿宋_GB2312" w:eastAsia="仿宋_GB2312" w:cs="仿宋_GB2312"/>
                <w:b w:val="0"/>
                <w:i w:val="0"/>
                <w:snapToGrid/>
                <w:color w:val="000000" w:themeColor="text1"/>
                <w:kern w:val="0"/>
                <w:sz w:val="21"/>
                <w:szCs w:val="21"/>
                <w:u w:val="none"/>
                <w:lang w:val="en-US" w:eastAsia="zh-CN" w:bidi="ar-SA"/>
                <w14:textFill>
                  <w14:solidFill>
                    <w14:schemeClr w14:val="tx1"/>
                  </w14:solidFill>
                </w14:textFill>
              </w:rPr>
            </w:pPr>
            <w: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t xml:space="preserve">    对封存的资料、资产，审计机关可以指定被审计单位负责保管，被审计单位不得损毁或者擅自转移。 </w:t>
            </w:r>
          </w:p>
        </w:tc>
        <w:tc>
          <w:tcPr>
            <w:tcW w:w="696" w:type="dxa"/>
            <w:vAlign w:val="center"/>
          </w:tcPr>
          <w:p w14:paraId="2F880C61">
            <w:pPr>
              <w:pStyle w:val="8"/>
              <w:keepNext w:val="0"/>
              <w:keepLines w:val="0"/>
              <w:pageBreakBefore w:val="0"/>
              <w:widowControl/>
              <w:wordWrap/>
              <w:overflowPunct/>
              <w:topLinePunct w:val="0"/>
              <w:autoSpaceDN w:val="0"/>
              <w:bidi w:val="0"/>
              <w:adjustRightInd w:val="0"/>
              <w:snapToGrid w:val="0"/>
              <w:spacing w:line="240" w:lineRule="exact"/>
              <w:jc w:val="center"/>
              <w:rPr>
                <w:rFonts w:hint="eastAsia" w:ascii="仿宋_GB2312" w:hAnsi="仿宋_GB2312" w:eastAsia="仿宋_GB2312" w:cs="仿宋_GB2312"/>
                <w:snapToGrid w:val="0"/>
                <w:color w:val="000000"/>
                <w:kern w:val="0"/>
                <w:sz w:val="21"/>
                <w:szCs w:val="21"/>
                <w:lang w:val="en-US" w:eastAsia="zh-CN" w:bidi="ar-SA"/>
              </w:rPr>
            </w:pPr>
            <w:r>
              <w:rPr>
                <w:rFonts w:hint="eastAsia" w:ascii="仿宋_GB2312" w:hAnsi="仿宋_GB2312" w:eastAsia="仿宋_GB2312" w:cs="仿宋_GB2312"/>
                <w:sz w:val="21"/>
                <w:szCs w:val="21"/>
                <w:lang w:eastAsia="zh-CN"/>
              </w:rPr>
              <w:t>陵川县审计局</w:t>
            </w:r>
          </w:p>
        </w:tc>
        <w:tc>
          <w:tcPr>
            <w:tcW w:w="965" w:type="dxa"/>
            <w:vAlign w:val="center"/>
          </w:tcPr>
          <w:p w14:paraId="2B43EA8F">
            <w:pPr>
              <w:pStyle w:val="8"/>
              <w:keepNext w:val="0"/>
              <w:keepLines w:val="0"/>
              <w:pageBreakBefore w:val="0"/>
              <w:widowControl/>
              <w:wordWrap/>
              <w:overflowPunct/>
              <w:topLinePunct w:val="0"/>
              <w:autoSpaceDN w:val="0"/>
              <w:bidi w:val="0"/>
              <w:adjustRightInd w:val="0"/>
              <w:snapToGrid w:val="0"/>
              <w:spacing w:line="240" w:lineRule="exact"/>
              <w:jc w:val="center"/>
              <w:rPr>
                <w:rFonts w:hint="eastAsia" w:ascii="仿宋_GB2312" w:hAnsi="仿宋_GB2312" w:eastAsia="仿宋_GB2312" w:cs="仿宋_GB2312"/>
                <w:snapToGrid w:val="0"/>
                <w:color w:val="000000"/>
                <w:kern w:val="0"/>
                <w:sz w:val="21"/>
                <w:szCs w:val="21"/>
                <w:lang w:val="en-US" w:eastAsia="zh-CN" w:bidi="ar-SA"/>
              </w:rPr>
            </w:pPr>
            <w:r>
              <w:rPr>
                <w:rFonts w:hint="eastAsia" w:ascii="仿宋_GB2312" w:hAnsi="仿宋_GB2312" w:eastAsia="仿宋_GB2312" w:cs="仿宋_GB2312"/>
                <w:sz w:val="21"/>
                <w:szCs w:val="21"/>
                <w:lang w:eastAsia="zh-CN"/>
              </w:rPr>
              <w:t>陵川县审计局</w:t>
            </w:r>
          </w:p>
        </w:tc>
        <w:tc>
          <w:tcPr>
            <w:tcW w:w="784" w:type="dxa"/>
            <w:vAlign w:val="top"/>
          </w:tcPr>
          <w:p w14:paraId="4659EA75">
            <w:pPr>
              <w:pStyle w:val="8"/>
              <w:rPr>
                <w:rFonts w:hint="eastAsia" w:ascii="仿宋_GB2312" w:hAnsi="仿宋_GB2312" w:eastAsia="仿宋_GB2312" w:cs="仿宋_GB2312"/>
                <w:sz w:val="21"/>
                <w:szCs w:val="21"/>
              </w:rPr>
            </w:pPr>
          </w:p>
        </w:tc>
      </w:tr>
      <w:tr w14:paraId="6A346CE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76" w:hRule="atLeast"/>
        </w:trPr>
        <w:tc>
          <w:tcPr>
            <w:tcW w:w="840" w:type="dxa"/>
            <w:vAlign w:val="center"/>
          </w:tcPr>
          <w:p w14:paraId="746509E4">
            <w:pPr>
              <w:keepNext w:val="0"/>
              <w:keepLines w:val="0"/>
              <w:pageBreakBefore w:val="0"/>
              <w:widowControl/>
              <w:kinsoku/>
              <w:wordWrap/>
              <w:overflowPunct/>
              <w:topLinePunct w:val="0"/>
              <w:autoSpaceDE/>
              <w:autoSpaceDN w:val="0"/>
              <w:bidi w:val="0"/>
              <w:adjustRightInd w:val="0"/>
              <w:snapToGrid w:val="0"/>
              <w:spacing w:line="240" w:lineRule="exact"/>
              <w:jc w:val="center"/>
              <w:textAlignment w:val="center"/>
              <w:rPr>
                <w:rFonts w:hint="eastAsia" w:ascii="仿宋_GB2312" w:hAnsi="仿宋_GB2312" w:eastAsia="仿宋_GB2312" w:cs="仿宋_GB2312"/>
                <w:b w:val="0"/>
                <w:i w:val="0"/>
                <w:snapToGrid/>
                <w:color w:val="000000" w:themeColor="text1"/>
                <w:kern w:val="0"/>
                <w:sz w:val="21"/>
                <w:szCs w:val="21"/>
                <w:u w:val="none"/>
                <w:lang w:val="en-US" w:eastAsia="zh-CN" w:bidi="ar-SA"/>
                <w14:textFill>
                  <w14:solidFill>
                    <w14:schemeClr w14:val="tx1"/>
                  </w14:solidFill>
                </w14:textFill>
              </w:rPr>
            </w:pPr>
            <w:r>
              <w:rPr>
                <w:rFonts w:hint="eastAsia" w:ascii="仿宋_GB2312" w:hAnsi="仿宋_GB2312" w:eastAsia="仿宋_GB2312" w:cs="仿宋_GB2312"/>
                <w:b w:val="0"/>
                <w:i w:val="0"/>
                <w:snapToGrid/>
                <w:color w:val="000000" w:themeColor="text1"/>
                <w:sz w:val="21"/>
                <w:szCs w:val="21"/>
                <w:u w:val="none"/>
                <w:lang w:val="en-US" w:eastAsia="zh-CN"/>
                <w14:textFill>
                  <w14:solidFill>
                    <w14:schemeClr w14:val="tx1"/>
                  </w14:solidFill>
                </w14:textFill>
              </w:rPr>
              <w:t>4</w:t>
            </w:r>
          </w:p>
        </w:tc>
        <w:tc>
          <w:tcPr>
            <w:tcW w:w="2710" w:type="dxa"/>
            <w:vAlign w:val="center"/>
          </w:tcPr>
          <w:p w14:paraId="7049DDFE">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_GB2312" w:hAnsi="仿宋_GB2312" w:eastAsia="仿宋_GB2312" w:cs="仿宋_GB2312"/>
                <w:b w:val="0"/>
                <w:i w:val="0"/>
                <w:snapToGrid/>
                <w:color w:val="000000" w:themeColor="text1"/>
                <w:kern w:val="0"/>
                <w:sz w:val="21"/>
                <w:szCs w:val="21"/>
                <w:u w:val="none"/>
                <w:lang w:val="en-US" w:eastAsia="zh-CN" w:bidi="ar-SA"/>
                <w14:textFill>
                  <w14:solidFill>
                    <w14:schemeClr w14:val="tx1"/>
                  </w14:solidFill>
                </w14:textFill>
              </w:rPr>
            </w:pPr>
            <w: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t>被审计单位正在进行的违反国家规定的财政收支、财务收支行为，通知财政部门和有关主管部门暂停拨付与使用有关款项的行政强制</w:t>
            </w:r>
          </w:p>
        </w:tc>
        <w:tc>
          <w:tcPr>
            <w:tcW w:w="868" w:type="dxa"/>
            <w:vAlign w:val="center"/>
          </w:tcPr>
          <w:p w14:paraId="5CC9020D">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_GB2312" w:hAnsi="仿宋_GB2312" w:eastAsia="仿宋_GB2312" w:cs="仿宋_GB2312"/>
                <w:b w:val="0"/>
                <w:i w:val="0"/>
                <w:snapToGrid/>
                <w:color w:val="000000" w:themeColor="text1"/>
                <w:kern w:val="0"/>
                <w:sz w:val="21"/>
                <w:szCs w:val="21"/>
                <w:u w:val="none"/>
                <w:lang w:val="en-US" w:eastAsia="zh-CN" w:bidi="ar-SA"/>
                <w14:textFill>
                  <w14:solidFill>
                    <w14:schemeClr w14:val="tx1"/>
                  </w14:solidFill>
                </w14:textFill>
              </w:rPr>
            </w:pPr>
            <w: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t xml:space="preserve">行政强制 </w:t>
            </w:r>
          </w:p>
        </w:tc>
        <w:tc>
          <w:tcPr>
            <w:tcW w:w="7811" w:type="dxa"/>
            <w:vAlign w:val="center"/>
          </w:tcPr>
          <w:p w14:paraId="30D026F4">
            <w:pPr>
              <w:keepNext w:val="0"/>
              <w:keepLines w:val="0"/>
              <w:pageBreakBefore w:val="0"/>
              <w:widowControl/>
              <w:kinsoku/>
              <w:wordWrap/>
              <w:overflowPunct/>
              <w:topLinePunct w:val="0"/>
              <w:autoSpaceDE/>
              <w:autoSpaceDN w:val="0"/>
              <w:bidi w:val="0"/>
              <w:adjustRightInd w:val="0"/>
              <w:snapToGrid w:val="0"/>
              <w:spacing w:line="240" w:lineRule="exact"/>
              <w:ind w:firstLine="420" w:firstLineChars="200"/>
              <w:jc w:val="left"/>
              <w:textAlignment w:val="cente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t>【法律】《中华人民共和国审计法》(1994年8月31日第八届全国人民代表大会常务委员会第九次会议通过</w:t>
            </w:r>
            <w:r>
              <w:rPr>
                <w:rFonts w:hint="eastAsia" w:ascii="仿宋_GB2312" w:hAnsi="仿宋_GB2312" w:eastAsia="仿宋_GB2312" w:cs="仿宋_GB2312"/>
                <w:b w:val="0"/>
                <w:i w:val="0"/>
                <w:snapToGrid/>
                <w:color w:val="000000" w:themeColor="text1"/>
                <w:sz w:val="21"/>
                <w:szCs w:val="21"/>
                <w:u w:val="none"/>
                <w:lang w:val="en-US" w:eastAsia="zh-CN"/>
                <w14:textFill>
                  <w14:solidFill>
                    <w14:schemeClr w14:val="tx1"/>
                  </w14:solidFill>
                </w14:textFill>
              </w:rPr>
              <w:t xml:space="preserve"> </w:t>
            </w:r>
            <w: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t>根据2006年2月28日第十届全国人民代表大会常务委员会第二十次会议《关于修改〈中华人民共和国审计法》的决定》第一次修正</w:t>
            </w:r>
            <w:r>
              <w:rPr>
                <w:rFonts w:hint="eastAsia" w:ascii="仿宋_GB2312" w:hAnsi="仿宋_GB2312" w:eastAsia="仿宋_GB2312" w:cs="仿宋_GB2312"/>
                <w:b w:val="0"/>
                <w:i w:val="0"/>
                <w:snapToGrid/>
                <w:color w:val="000000" w:themeColor="text1"/>
                <w:sz w:val="21"/>
                <w:szCs w:val="21"/>
                <w:u w:val="none"/>
                <w:lang w:val="en-US" w:eastAsia="zh-CN"/>
                <w14:textFill>
                  <w14:solidFill>
                    <w14:schemeClr w14:val="tx1"/>
                  </w14:solidFill>
                </w14:textFill>
              </w:rPr>
              <w:t xml:space="preserve"> </w:t>
            </w:r>
            <w: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t>根据2021年10月23日第十三届全国人民代表大会常务委员会第三十一次会议《关于修改〈中华人民共和国审计法》的决定》第二次修正)</w:t>
            </w:r>
          </w:p>
          <w:p w14:paraId="22AB667F">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t xml:space="preserve">    第三十八条第三款：“审计机关对被审计单位正在进行的违反国家规定的财政收支、财务收支行为，有权予以制止；制止无效的，经县级以上人民政府审计机关负责人批准，通知财政部门和有关主管机关、单位暂停拨付与违反国家规定法人财政收支、财务收支行为直接有关款项，已经拨付的，暂停使用。” </w:t>
            </w:r>
          </w:p>
          <w:p w14:paraId="44D08421">
            <w:pPr>
              <w:keepNext w:val="0"/>
              <w:keepLines w:val="0"/>
              <w:pageBreakBefore w:val="0"/>
              <w:widowControl/>
              <w:kinsoku/>
              <w:wordWrap/>
              <w:overflowPunct/>
              <w:topLinePunct w:val="0"/>
              <w:autoSpaceDE/>
              <w:autoSpaceDN w:val="0"/>
              <w:bidi w:val="0"/>
              <w:adjustRightInd w:val="0"/>
              <w:snapToGrid w:val="0"/>
              <w:spacing w:line="240" w:lineRule="exact"/>
              <w:ind w:firstLine="420" w:firstLineChars="200"/>
              <w:jc w:val="left"/>
              <w:textAlignment w:val="cente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t>【行政法规】《财政违法行为处罚处分条例》（</w:t>
            </w:r>
            <w:r>
              <w:rPr>
                <w:rFonts w:hint="eastAsia" w:ascii="仿宋_GB2312" w:hAnsi="仿宋_GB2312" w:eastAsia="仿宋_GB2312" w:cs="仿宋_GB2312"/>
                <w:b w:val="0"/>
                <w:i w:val="0"/>
                <w:snapToGrid/>
                <w:color w:val="000000" w:themeColor="text1"/>
                <w:sz w:val="21"/>
                <w:szCs w:val="21"/>
                <w:u w:val="none"/>
                <w:lang w:val="en-US" w:eastAsia="zh-CN"/>
                <w14:textFill>
                  <w14:solidFill>
                    <w14:schemeClr w14:val="tx1"/>
                  </w14:solidFill>
                </w14:textFill>
              </w:rPr>
              <w:t>2004年11月30日中华人民共和国国务院令第427号公布 根据2011年1月8日《国务院关于废止和修改部分行政法规的决定》修订</w:t>
            </w:r>
            <w: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t>）</w:t>
            </w:r>
          </w:p>
          <w:p w14:paraId="5D946780">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_GB2312" w:hAnsi="仿宋_GB2312" w:eastAsia="仿宋_GB2312" w:cs="仿宋_GB2312"/>
                <w:b w:val="0"/>
                <w:i w:val="0"/>
                <w:snapToGrid/>
                <w:color w:val="000000" w:themeColor="text1"/>
                <w:kern w:val="0"/>
                <w:sz w:val="21"/>
                <w:szCs w:val="21"/>
                <w:u w:val="none"/>
                <w:lang w:val="en-US" w:eastAsia="zh-CN" w:bidi="ar-SA"/>
                <w14:textFill>
                  <w14:solidFill>
                    <w14:schemeClr w14:val="tx1"/>
                  </w14:solidFill>
                </w14:textFill>
              </w:rPr>
            </w:pPr>
            <w: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t xml:space="preserve">    第二十四条 “对被调查、检查单位或者个人正在进行的财政违法行为，财政部门、审计机关应当责令停止。拒不执行的，财政部门可以暂停财政拨款或者停止拨付与财政违法行为直接有关的款项，已经拨付的，责令其暂停使用；审计机关可以通知财政部门或者其他有关主管部门暂停财政拨款或者停止拨付与财政违法行为直接有关的款项，已经拨付的，责令其暂停使用，财政部门和其他有关主管部门应当将结果书面告知审计机关。”</w:t>
            </w:r>
          </w:p>
        </w:tc>
        <w:tc>
          <w:tcPr>
            <w:tcW w:w="696" w:type="dxa"/>
            <w:vAlign w:val="center"/>
          </w:tcPr>
          <w:p w14:paraId="17F885C9">
            <w:pPr>
              <w:pStyle w:val="8"/>
              <w:keepNext w:val="0"/>
              <w:keepLines w:val="0"/>
              <w:pageBreakBefore w:val="0"/>
              <w:widowControl/>
              <w:wordWrap/>
              <w:overflowPunct/>
              <w:topLinePunct w:val="0"/>
              <w:autoSpaceDN w:val="0"/>
              <w:bidi w:val="0"/>
              <w:adjustRightInd w:val="0"/>
              <w:snapToGrid w:val="0"/>
              <w:spacing w:line="240" w:lineRule="exact"/>
              <w:jc w:val="center"/>
              <w:rPr>
                <w:rFonts w:hint="eastAsia" w:ascii="仿宋_GB2312" w:hAnsi="仿宋_GB2312" w:eastAsia="仿宋_GB2312" w:cs="仿宋_GB2312"/>
                <w:snapToGrid w:val="0"/>
                <w:color w:val="000000"/>
                <w:kern w:val="0"/>
                <w:sz w:val="21"/>
                <w:szCs w:val="21"/>
                <w:lang w:val="en-US" w:eastAsia="zh-CN" w:bidi="ar-SA"/>
              </w:rPr>
            </w:pPr>
            <w:r>
              <w:rPr>
                <w:rFonts w:hint="eastAsia" w:ascii="仿宋_GB2312" w:hAnsi="仿宋_GB2312" w:eastAsia="仿宋_GB2312" w:cs="仿宋_GB2312"/>
                <w:sz w:val="21"/>
                <w:szCs w:val="21"/>
                <w:lang w:eastAsia="zh-CN"/>
              </w:rPr>
              <w:t>陵川县审计局</w:t>
            </w:r>
          </w:p>
        </w:tc>
        <w:tc>
          <w:tcPr>
            <w:tcW w:w="965" w:type="dxa"/>
            <w:vAlign w:val="center"/>
          </w:tcPr>
          <w:p w14:paraId="6DAB9314">
            <w:pPr>
              <w:pStyle w:val="8"/>
              <w:keepNext w:val="0"/>
              <w:keepLines w:val="0"/>
              <w:pageBreakBefore w:val="0"/>
              <w:widowControl/>
              <w:wordWrap/>
              <w:overflowPunct/>
              <w:topLinePunct w:val="0"/>
              <w:autoSpaceDN w:val="0"/>
              <w:bidi w:val="0"/>
              <w:adjustRightInd w:val="0"/>
              <w:snapToGrid w:val="0"/>
              <w:spacing w:line="240" w:lineRule="exact"/>
              <w:jc w:val="center"/>
              <w:rPr>
                <w:rFonts w:hint="eastAsia" w:ascii="仿宋_GB2312" w:hAnsi="仿宋_GB2312" w:eastAsia="仿宋_GB2312" w:cs="仿宋_GB2312"/>
                <w:snapToGrid w:val="0"/>
                <w:color w:val="000000"/>
                <w:kern w:val="0"/>
                <w:sz w:val="21"/>
                <w:szCs w:val="21"/>
                <w:lang w:val="en-US" w:eastAsia="zh-CN" w:bidi="ar-SA"/>
              </w:rPr>
            </w:pPr>
            <w:r>
              <w:rPr>
                <w:rFonts w:hint="eastAsia" w:ascii="仿宋_GB2312" w:hAnsi="仿宋_GB2312" w:eastAsia="仿宋_GB2312" w:cs="仿宋_GB2312"/>
                <w:sz w:val="21"/>
                <w:szCs w:val="21"/>
                <w:lang w:eastAsia="zh-CN"/>
              </w:rPr>
              <w:t>陵川县审计局</w:t>
            </w:r>
          </w:p>
        </w:tc>
        <w:tc>
          <w:tcPr>
            <w:tcW w:w="784" w:type="dxa"/>
            <w:vAlign w:val="top"/>
          </w:tcPr>
          <w:p w14:paraId="37F2F227">
            <w:pPr>
              <w:pStyle w:val="8"/>
              <w:rPr>
                <w:rFonts w:hint="eastAsia" w:ascii="仿宋_GB2312" w:hAnsi="仿宋_GB2312" w:eastAsia="仿宋_GB2312" w:cs="仿宋_GB2312"/>
                <w:sz w:val="21"/>
                <w:szCs w:val="21"/>
              </w:rPr>
            </w:pPr>
          </w:p>
        </w:tc>
      </w:tr>
      <w:tr w14:paraId="0D1B0E2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13" w:hRule="atLeast"/>
        </w:trPr>
        <w:tc>
          <w:tcPr>
            <w:tcW w:w="840" w:type="dxa"/>
            <w:vAlign w:val="center"/>
          </w:tcPr>
          <w:p w14:paraId="1F6B7DDB">
            <w:pPr>
              <w:keepNext w:val="0"/>
              <w:keepLines w:val="0"/>
              <w:pageBreakBefore w:val="0"/>
              <w:widowControl/>
              <w:kinsoku/>
              <w:wordWrap/>
              <w:overflowPunct/>
              <w:topLinePunct w:val="0"/>
              <w:autoSpaceDE/>
              <w:autoSpaceDN w:val="0"/>
              <w:bidi w:val="0"/>
              <w:adjustRightInd w:val="0"/>
              <w:snapToGrid w:val="0"/>
              <w:spacing w:line="240" w:lineRule="exact"/>
              <w:jc w:val="center"/>
              <w:textAlignment w:val="center"/>
              <w:rPr>
                <w:rFonts w:hint="eastAsia" w:ascii="仿宋_GB2312" w:hAnsi="仿宋_GB2312" w:eastAsia="仿宋_GB2312" w:cs="仿宋_GB2312"/>
                <w:b w:val="0"/>
                <w:i w:val="0"/>
                <w:snapToGrid/>
                <w:color w:val="000000" w:themeColor="text1"/>
                <w:kern w:val="0"/>
                <w:sz w:val="21"/>
                <w:szCs w:val="21"/>
                <w:u w:val="none"/>
                <w:lang w:val="en-US" w:eastAsia="zh-CN" w:bidi="ar-SA"/>
                <w14:textFill>
                  <w14:solidFill>
                    <w14:schemeClr w14:val="tx1"/>
                  </w14:solidFill>
                </w14:textFill>
              </w:rPr>
            </w:pPr>
            <w:r>
              <w:rPr>
                <w:rFonts w:hint="eastAsia" w:ascii="仿宋_GB2312" w:hAnsi="仿宋_GB2312" w:eastAsia="仿宋_GB2312" w:cs="仿宋_GB2312"/>
                <w:b w:val="0"/>
                <w:i w:val="0"/>
                <w:snapToGrid/>
                <w:color w:val="000000" w:themeColor="text1"/>
                <w:sz w:val="21"/>
                <w:szCs w:val="21"/>
                <w:u w:val="none"/>
                <w:lang w:val="en-US" w:eastAsia="zh-CN"/>
                <w14:textFill>
                  <w14:solidFill>
                    <w14:schemeClr w14:val="tx1"/>
                  </w14:solidFill>
                </w14:textFill>
              </w:rPr>
              <w:t>5</w:t>
            </w:r>
          </w:p>
        </w:tc>
        <w:tc>
          <w:tcPr>
            <w:tcW w:w="2710" w:type="dxa"/>
            <w:vAlign w:val="center"/>
          </w:tcPr>
          <w:p w14:paraId="796A22CE">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_GB2312" w:hAnsi="仿宋_GB2312" w:eastAsia="仿宋_GB2312" w:cs="仿宋_GB2312"/>
                <w:b w:val="0"/>
                <w:i w:val="0"/>
                <w:snapToGrid/>
                <w:color w:val="000000" w:themeColor="text1"/>
                <w:kern w:val="0"/>
                <w:sz w:val="21"/>
                <w:szCs w:val="21"/>
                <w:u w:val="none"/>
                <w:lang w:val="en-US" w:eastAsia="zh-CN" w:bidi="ar-SA"/>
                <w14:textFill>
                  <w14:solidFill>
                    <w14:schemeClr w14:val="tx1"/>
                  </w14:solidFill>
                </w14:textFill>
              </w:rPr>
            </w:pPr>
            <w: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t>对各级各部门（含直属单位）和下级政府违反预算的行为或者其他违反国家规定的财政收支行为区别情况采取处理措施的审计处理权</w:t>
            </w:r>
          </w:p>
        </w:tc>
        <w:tc>
          <w:tcPr>
            <w:tcW w:w="868" w:type="dxa"/>
            <w:vAlign w:val="center"/>
          </w:tcPr>
          <w:p w14:paraId="327B78EC">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_GB2312" w:hAnsi="仿宋_GB2312" w:eastAsia="仿宋_GB2312" w:cs="仿宋_GB2312"/>
                <w:b w:val="0"/>
                <w:i w:val="0"/>
                <w:snapToGrid/>
                <w:color w:val="000000" w:themeColor="text1"/>
                <w:kern w:val="0"/>
                <w:sz w:val="21"/>
                <w:szCs w:val="21"/>
                <w:u w:val="none"/>
                <w:lang w:val="en-US" w:eastAsia="zh-CN" w:bidi="ar-SA"/>
                <w14:textFill>
                  <w14:solidFill>
                    <w14:schemeClr w14:val="tx1"/>
                  </w14:solidFill>
                </w14:textFill>
              </w:rPr>
            </w:pPr>
            <w: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t>其他行政执法事项</w:t>
            </w:r>
          </w:p>
        </w:tc>
        <w:tc>
          <w:tcPr>
            <w:tcW w:w="7811" w:type="dxa"/>
            <w:vAlign w:val="center"/>
          </w:tcPr>
          <w:p w14:paraId="7012E79A">
            <w:pPr>
              <w:keepNext w:val="0"/>
              <w:keepLines w:val="0"/>
              <w:pageBreakBefore w:val="0"/>
              <w:widowControl/>
              <w:kinsoku/>
              <w:wordWrap/>
              <w:overflowPunct/>
              <w:topLinePunct w:val="0"/>
              <w:autoSpaceDE/>
              <w:autoSpaceDN w:val="0"/>
              <w:bidi w:val="0"/>
              <w:adjustRightInd w:val="0"/>
              <w:snapToGrid w:val="0"/>
              <w:spacing w:line="240" w:lineRule="exact"/>
              <w:ind w:firstLine="420" w:firstLineChars="200"/>
              <w:jc w:val="left"/>
              <w:textAlignment w:val="cente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t>【法律】《中华人民共和国审计法》(1994年8月31日第八届全国人民代表大会常务委员会第九次会议通过</w:t>
            </w:r>
            <w:r>
              <w:rPr>
                <w:rFonts w:hint="eastAsia" w:ascii="仿宋_GB2312" w:hAnsi="仿宋_GB2312" w:eastAsia="仿宋_GB2312" w:cs="仿宋_GB2312"/>
                <w:b w:val="0"/>
                <w:i w:val="0"/>
                <w:snapToGrid/>
                <w:color w:val="000000" w:themeColor="text1"/>
                <w:sz w:val="21"/>
                <w:szCs w:val="21"/>
                <w:u w:val="none"/>
                <w:lang w:val="en-US" w:eastAsia="zh-CN"/>
                <w14:textFill>
                  <w14:solidFill>
                    <w14:schemeClr w14:val="tx1"/>
                  </w14:solidFill>
                </w14:textFill>
              </w:rPr>
              <w:t xml:space="preserve"> </w:t>
            </w:r>
            <w: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t>根据2006年2月28日第十届全国人民代表大会常务委员会第二十次会议《关于修改〈中华人民共和国审计法》的决定》第一次修正</w:t>
            </w:r>
            <w:r>
              <w:rPr>
                <w:rFonts w:hint="eastAsia" w:ascii="仿宋_GB2312" w:hAnsi="仿宋_GB2312" w:eastAsia="仿宋_GB2312" w:cs="仿宋_GB2312"/>
                <w:b w:val="0"/>
                <w:i w:val="0"/>
                <w:snapToGrid/>
                <w:color w:val="000000" w:themeColor="text1"/>
                <w:sz w:val="21"/>
                <w:szCs w:val="21"/>
                <w:u w:val="none"/>
                <w:lang w:val="en-US" w:eastAsia="zh-CN"/>
                <w14:textFill>
                  <w14:solidFill>
                    <w14:schemeClr w14:val="tx1"/>
                  </w14:solidFill>
                </w14:textFill>
              </w:rPr>
              <w:t xml:space="preserve"> </w:t>
            </w:r>
            <w: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t>根据2021年10月23日第十三届全国人民代表大会常务委员会第三十一次会议《关于修改〈中华人民共和国审计法》的决定》第二次修正)</w:t>
            </w:r>
          </w:p>
          <w:p w14:paraId="55DC338E">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t xml:space="preserve">    第四十九条  “对本级各部门（含直属单位）和下级政府违反预算的行为或者其他违反国家规定的财政收支行为，审计机关、人民政府或者有关主管机关、单位在法定职权范围内，依照法律、行政法规的规定，区别情况采取下列处理措施：（一）责令限期缴纳应当上缴的款项；（二）责令限期退还被侵占的国有资产；（三）责令限期退还违法所得；（四）责令按照国家统一的财务、会计制度的有关规定进行处理；（五）其他处理措施。”</w:t>
            </w:r>
          </w:p>
          <w:p w14:paraId="212F647C">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t xml:space="preserve">    第五十条  “对被审计单位违反国家规定的财务收支行为，审计机关、人民政府或者有关主管机关、单位在法定职权范围内，依照法律、行政法规的规定，区别情况采取前条规定的处理措施，并可以依法给予处罚。”</w:t>
            </w:r>
          </w:p>
          <w:p w14:paraId="4A73CB71">
            <w:pPr>
              <w:keepNext w:val="0"/>
              <w:keepLines w:val="0"/>
              <w:pageBreakBefore w:val="0"/>
              <w:widowControl/>
              <w:kinsoku/>
              <w:wordWrap/>
              <w:overflowPunct/>
              <w:topLinePunct w:val="0"/>
              <w:autoSpaceDE/>
              <w:autoSpaceDN w:val="0"/>
              <w:bidi w:val="0"/>
              <w:adjustRightInd w:val="0"/>
              <w:snapToGrid w:val="0"/>
              <w:spacing w:line="240" w:lineRule="exact"/>
              <w:ind w:firstLine="420" w:firstLineChars="200"/>
              <w:jc w:val="left"/>
              <w:textAlignment w:val="cente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t>【行政法规】《中华人民共和国审计法实施条例》（1997年10月21日中华人民共和国国务院令第231号公布</w:t>
            </w:r>
            <w:r>
              <w:rPr>
                <w:rFonts w:hint="eastAsia" w:ascii="仿宋_GB2312" w:hAnsi="仿宋_GB2312" w:eastAsia="仿宋_GB2312" w:cs="仿宋_GB2312"/>
                <w:b w:val="0"/>
                <w:i w:val="0"/>
                <w:snapToGrid/>
                <w:color w:val="000000" w:themeColor="text1"/>
                <w:sz w:val="21"/>
                <w:szCs w:val="21"/>
                <w:u w:val="none"/>
                <w:lang w:val="en-US" w:eastAsia="zh-CN"/>
                <w14:textFill>
                  <w14:solidFill>
                    <w14:schemeClr w14:val="tx1"/>
                  </w14:solidFill>
                </w14:textFill>
              </w:rPr>
              <w:t xml:space="preserve"> </w:t>
            </w:r>
            <w: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t>2010年2月2日国务院第100次常务会议修订通过</w:t>
            </w:r>
            <w:r>
              <w:rPr>
                <w:rFonts w:hint="eastAsia" w:ascii="仿宋_GB2312" w:hAnsi="仿宋_GB2312" w:eastAsia="仿宋_GB2312" w:cs="仿宋_GB2312"/>
                <w:b w:val="0"/>
                <w:i w:val="0"/>
                <w:snapToGrid/>
                <w:color w:val="000000" w:themeColor="text1"/>
                <w:sz w:val="21"/>
                <w:szCs w:val="21"/>
                <w:u w:val="none"/>
                <w:lang w:val="en-US" w:eastAsia="zh-CN"/>
                <w14:textFill>
                  <w14:solidFill>
                    <w14:schemeClr w14:val="tx1"/>
                  </w14:solidFill>
                </w14:textFill>
              </w:rPr>
              <w:t xml:space="preserve"> </w:t>
            </w:r>
            <w: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t>2010年2月11日中华人民共和国国务院令第571号公布</w:t>
            </w:r>
            <w:r>
              <w:rPr>
                <w:rFonts w:hint="eastAsia" w:ascii="仿宋_GB2312" w:hAnsi="仿宋_GB2312" w:eastAsia="仿宋_GB2312" w:cs="仿宋_GB2312"/>
                <w:b w:val="0"/>
                <w:i w:val="0"/>
                <w:snapToGrid/>
                <w:color w:val="000000" w:themeColor="text1"/>
                <w:sz w:val="21"/>
                <w:szCs w:val="21"/>
                <w:u w:val="none"/>
                <w:lang w:val="en-US" w:eastAsia="zh-CN"/>
                <w14:textFill>
                  <w14:solidFill>
                    <w14:schemeClr w14:val="tx1"/>
                  </w14:solidFill>
                </w14:textFill>
              </w:rPr>
              <w:t xml:space="preserve"> </w:t>
            </w:r>
            <w: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t>自2010年5月1日起施行）</w:t>
            </w:r>
          </w:p>
          <w:p w14:paraId="683FD275">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t xml:space="preserve">    第四十八条 “对本级各部门（含直属单位）和下级人民政府违反预算的行为或者其他违反国家规定的财政收支行为，审计机关在法定职权范围内，依照法律、行政法规的规定，区别情况采取审计法第四十五条规定的处理措施。”</w:t>
            </w:r>
          </w:p>
          <w:p w14:paraId="5D6BC3AC">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_GB2312" w:hAnsi="仿宋_GB2312" w:eastAsia="仿宋_GB2312" w:cs="仿宋_GB2312"/>
                <w:b w:val="0"/>
                <w:i w:val="0"/>
                <w:snapToGrid/>
                <w:color w:val="000000" w:themeColor="text1"/>
                <w:kern w:val="0"/>
                <w:sz w:val="21"/>
                <w:szCs w:val="21"/>
                <w:u w:val="none"/>
                <w:lang w:val="en-US" w:eastAsia="zh-CN" w:bidi="ar-SA"/>
                <w14:textFill>
                  <w14:solidFill>
                    <w14:schemeClr w14:val="tx1"/>
                  </w14:solidFill>
                </w14:textFill>
              </w:rPr>
            </w:pPr>
            <w: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t xml:space="preserve">    第四十九条第一款 “对被审计单位违反国家规定的财务收支行为，审计机关在法定职权范围内，区别情况采取审计法第四十五条规定的处理措施，可以通报批评，给予警告；有违法所得的，没收违法所得，并处违法所得1倍以上5倍以下的罚款；没有违法所得的，可以处5万元以下的罚款；对直接负责的主管人员和其他直接责任人员，可以处2万元以下的罚款，审计机关认为应当给予处分的，向有关主管机关、单位提出给予处分的建议；构成犯罪的，依法追究刑事责任。”</w:t>
            </w:r>
          </w:p>
        </w:tc>
        <w:tc>
          <w:tcPr>
            <w:tcW w:w="696" w:type="dxa"/>
            <w:vAlign w:val="center"/>
          </w:tcPr>
          <w:p w14:paraId="6C230D6F">
            <w:pPr>
              <w:pStyle w:val="8"/>
              <w:keepNext w:val="0"/>
              <w:keepLines w:val="0"/>
              <w:pageBreakBefore w:val="0"/>
              <w:widowControl/>
              <w:wordWrap/>
              <w:overflowPunct/>
              <w:topLinePunct w:val="0"/>
              <w:autoSpaceDN w:val="0"/>
              <w:bidi w:val="0"/>
              <w:adjustRightInd w:val="0"/>
              <w:snapToGrid w:val="0"/>
              <w:spacing w:line="240" w:lineRule="exact"/>
              <w:jc w:val="center"/>
              <w:rPr>
                <w:rFonts w:hint="eastAsia" w:ascii="仿宋_GB2312" w:hAnsi="仿宋_GB2312" w:eastAsia="仿宋_GB2312" w:cs="仿宋_GB2312"/>
                <w:snapToGrid w:val="0"/>
                <w:color w:val="000000"/>
                <w:kern w:val="0"/>
                <w:sz w:val="21"/>
                <w:szCs w:val="21"/>
                <w:lang w:val="en-US" w:eastAsia="zh-CN" w:bidi="ar-SA"/>
              </w:rPr>
            </w:pPr>
            <w:r>
              <w:rPr>
                <w:rFonts w:hint="eastAsia" w:ascii="仿宋_GB2312" w:hAnsi="仿宋_GB2312" w:eastAsia="仿宋_GB2312" w:cs="仿宋_GB2312"/>
                <w:sz w:val="21"/>
                <w:szCs w:val="21"/>
                <w:lang w:eastAsia="zh-CN"/>
              </w:rPr>
              <w:t>陵川县审计局</w:t>
            </w:r>
          </w:p>
        </w:tc>
        <w:tc>
          <w:tcPr>
            <w:tcW w:w="965" w:type="dxa"/>
            <w:vAlign w:val="center"/>
          </w:tcPr>
          <w:p w14:paraId="59D7D9B7">
            <w:pPr>
              <w:pStyle w:val="8"/>
              <w:keepNext w:val="0"/>
              <w:keepLines w:val="0"/>
              <w:pageBreakBefore w:val="0"/>
              <w:widowControl/>
              <w:wordWrap/>
              <w:overflowPunct/>
              <w:topLinePunct w:val="0"/>
              <w:autoSpaceDN w:val="0"/>
              <w:bidi w:val="0"/>
              <w:adjustRightInd w:val="0"/>
              <w:snapToGrid w:val="0"/>
              <w:spacing w:line="240" w:lineRule="exact"/>
              <w:jc w:val="center"/>
              <w:rPr>
                <w:rFonts w:hint="eastAsia" w:ascii="仿宋_GB2312" w:hAnsi="仿宋_GB2312" w:eastAsia="仿宋_GB2312" w:cs="仿宋_GB2312"/>
                <w:snapToGrid w:val="0"/>
                <w:color w:val="000000"/>
                <w:kern w:val="0"/>
                <w:sz w:val="21"/>
                <w:szCs w:val="21"/>
                <w:lang w:val="en-US" w:eastAsia="zh-CN" w:bidi="ar-SA"/>
              </w:rPr>
            </w:pPr>
            <w:r>
              <w:rPr>
                <w:rFonts w:hint="eastAsia" w:ascii="仿宋_GB2312" w:hAnsi="仿宋_GB2312" w:eastAsia="仿宋_GB2312" w:cs="仿宋_GB2312"/>
                <w:sz w:val="21"/>
                <w:szCs w:val="21"/>
                <w:lang w:eastAsia="zh-CN"/>
              </w:rPr>
              <w:t>陵川县审计局</w:t>
            </w:r>
          </w:p>
        </w:tc>
        <w:tc>
          <w:tcPr>
            <w:tcW w:w="784" w:type="dxa"/>
            <w:vAlign w:val="top"/>
          </w:tcPr>
          <w:p w14:paraId="2332F127">
            <w:pPr>
              <w:pStyle w:val="8"/>
              <w:rPr>
                <w:rFonts w:hint="eastAsia" w:ascii="仿宋_GB2312" w:hAnsi="仿宋_GB2312" w:eastAsia="仿宋_GB2312" w:cs="仿宋_GB2312"/>
                <w:sz w:val="21"/>
                <w:szCs w:val="21"/>
              </w:rPr>
            </w:pPr>
          </w:p>
        </w:tc>
      </w:tr>
      <w:tr w14:paraId="455947B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252" w:hRule="atLeast"/>
        </w:trPr>
        <w:tc>
          <w:tcPr>
            <w:tcW w:w="840" w:type="dxa"/>
            <w:vAlign w:val="center"/>
          </w:tcPr>
          <w:p w14:paraId="5D1FEA90">
            <w:pPr>
              <w:keepNext w:val="0"/>
              <w:keepLines w:val="0"/>
              <w:pageBreakBefore w:val="0"/>
              <w:widowControl/>
              <w:kinsoku/>
              <w:wordWrap/>
              <w:overflowPunct/>
              <w:topLinePunct w:val="0"/>
              <w:autoSpaceDE/>
              <w:autoSpaceDN w:val="0"/>
              <w:bidi w:val="0"/>
              <w:adjustRightInd w:val="0"/>
              <w:snapToGrid w:val="0"/>
              <w:spacing w:line="240" w:lineRule="exact"/>
              <w:jc w:val="center"/>
              <w:textAlignment w:val="center"/>
              <w:rPr>
                <w:rFonts w:hint="eastAsia" w:ascii="仿宋_GB2312" w:hAnsi="仿宋_GB2312" w:eastAsia="仿宋_GB2312" w:cs="仿宋_GB2312"/>
                <w:b w:val="0"/>
                <w:i w:val="0"/>
                <w:snapToGrid/>
                <w:color w:val="000000" w:themeColor="text1"/>
                <w:kern w:val="0"/>
                <w:sz w:val="21"/>
                <w:szCs w:val="21"/>
                <w:u w:val="none"/>
                <w:lang w:val="en-US" w:eastAsia="zh-CN" w:bidi="ar-SA"/>
                <w14:textFill>
                  <w14:solidFill>
                    <w14:schemeClr w14:val="tx1"/>
                  </w14:solidFill>
                </w14:textFill>
              </w:rPr>
            </w:pPr>
            <w:r>
              <w:rPr>
                <w:rFonts w:hint="eastAsia" w:ascii="仿宋_GB2312" w:hAnsi="仿宋_GB2312" w:eastAsia="仿宋_GB2312" w:cs="仿宋_GB2312"/>
                <w:b w:val="0"/>
                <w:i w:val="0"/>
                <w:snapToGrid/>
                <w:color w:val="000000" w:themeColor="text1"/>
                <w:sz w:val="21"/>
                <w:szCs w:val="21"/>
                <w:u w:val="none"/>
                <w:lang w:val="en-US" w:eastAsia="zh-CN"/>
                <w14:textFill>
                  <w14:solidFill>
                    <w14:schemeClr w14:val="tx1"/>
                  </w14:solidFill>
                </w14:textFill>
              </w:rPr>
              <w:t>6</w:t>
            </w:r>
          </w:p>
        </w:tc>
        <w:tc>
          <w:tcPr>
            <w:tcW w:w="2710" w:type="dxa"/>
            <w:vAlign w:val="center"/>
          </w:tcPr>
          <w:p w14:paraId="55CC8E7C">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_GB2312" w:hAnsi="仿宋_GB2312" w:eastAsia="仿宋_GB2312" w:cs="仿宋_GB2312"/>
                <w:b w:val="0"/>
                <w:i w:val="0"/>
                <w:snapToGrid/>
                <w:color w:val="000000" w:themeColor="text1"/>
                <w:kern w:val="0"/>
                <w:sz w:val="21"/>
                <w:szCs w:val="21"/>
                <w:u w:val="none"/>
                <w:lang w:val="en-US" w:eastAsia="zh-CN" w:bidi="ar-SA"/>
                <w14:textFill>
                  <w14:solidFill>
                    <w14:schemeClr w14:val="tx1"/>
                  </w14:solidFill>
                </w14:textFill>
              </w:rPr>
            </w:pPr>
            <w: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t>对地方各级人民政府及其各部门的财政收支，国有的金融机构和企业事业组织的财务收支，以及其他依照应当接受审计的财政收支、财务收支，进行监督</w:t>
            </w:r>
          </w:p>
        </w:tc>
        <w:tc>
          <w:tcPr>
            <w:tcW w:w="868" w:type="dxa"/>
            <w:vAlign w:val="center"/>
          </w:tcPr>
          <w:p w14:paraId="6757D39F">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_GB2312" w:hAnsi="仿宋_GB2312" w:eastAsia="仿宋_GB2312" w:cs="仿宋_GB2312"/>
                <w:b w:val="0"/>
                <w:i w:val="0"/>
                <w:snapToGrid/>
                <w:color w:val="000000" w:themeColor="text1"/>
                <w:kern w:val="0"/>
                <w:sz w:val="21"/>
                <w:szCs w:val="21"/>
                <w:u w:val="none"/>
                <w:lang w:val="en-US" w:eastAsia="zh-CN" w:bidi="ar-SA"/>
                <w14:textFill>
                  <w14:solidFill>
                    <w14:schemeClr w14:val="tx1"/>
                  </w14:solidFill>
                </w14:textFill>
              </w:rPr>
            </w:pPr>
            <w: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t>其他行政执法事项</w:t>
            </w:r>
          </w:p>
        </w:tc>
        <w:tc>
          <w:tcPr>
            <w:tcW w:w="7811" w:type="dxa"/>
            <w:vAlign w:val="center"/>
          </w:tcPr>
          <w:p w14:paraId="25243A9A">
            <w:pPr>
              <w:keepNext w:val="0"/>
              <w:keepLines w:val="0"/>
              <w:pageBreakBefore w:val="0"/>
              <w:widowControl/>
              <w:kinsoku/>
              <w:wordWrap/>
              <w:overflowPunct/>
              <w:topLinePunct w:val="0"/>
              <w:autoSpaceDE/>
              <w:autoSpaceDN w:val="0"/>
              <w:bidi w:val="0"/>
              <w:adjustRightInd w:val="0"/>
              <w:snapToGrid w:val="0"/>
              <w:spacing w:line="240" w:lineRule="exact"/>
              <w:ind w:firstLine="420" w:firstLineChars="200"/>
              <w:jc w:val="left"/>
              <w:textAlignment w:val="cente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t>【法律】《中华人民共和国宪法》(1982年12月4日第五届全国人民代表大会第五次会议通过1982年12月4日全国人民代表大会公告公布施行</w:t>
            </w:r>
            <w:r>
              <w:rPr>
                <w:rFonts w:hint="eastAsia" w:ascii="仿宋_GB2312" w:hAnsi="仿宋_GB2312" w:eastAsia="仿宋_GB2312" w:cs="仿宋_GB2312"/>
                <w:b w:val="0"/>
                <w:i w:val="0"/>
                <w:snapToGrid/>
                <w:color w:val="000000" w:themeColor="text1"/>
                <w:sz w:val="21"/>
                <w:szCs w:val="21"/>
                <w:u w:val="none"/>
                <w:lang w:val="en-US" w:eastAsia="zh-CN"/>
                <w14:textFill>
                  <w14:solidFill>
                    <w14:schemeClr w14:val="tx1"/>
                  </w14:solidFill>
                </w14:textFill>
              </w:rPr>
              <w:t xml:space="preserve"> </w:t>
            </w:r>
            <w: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t>根据1988年4月12日第七届全国人民代表大会第一次会议通过的《中华人民共和国宪法修正案》、1993年3月29日第八届全国人民代表大会第一次会议通过的《中华人民共和国宪法修正案》、1999年3月15日第九届全国人民代表大会第二次会议通过的《中华人民共和国宪法修正案》、2004年3月14日第十届全国人民代表大会第二次会议通过的《中华人民共和国宪法修正案》和2018年3月11日第十三届全国人民代表大会第一次会议通过的《中华人民共和国宪法修正案》修正)</w:t>
            </w:r>
          </w:p>
          <w:p w14:paraId="039BF90B">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t xml:space="preserve">    第一百零九条 “县级以上的地方各级人民政府设立审计机关。地方各级审计机关依照法律规定独立行使审计监督权，对本级人民政府和上一级审计机关负责。”</w:t>
            </w:r>
          </w:p>
          <w:p w14:paraId="6FD09C2A">
            <w:pPr>
              <w:keepNext w:val="0"/>
              <w:keepLines w:val="0"/>
              <w:pageBreakBefore w:val="0"/>
              <w:widowControl/>
              <w:kinsoku/>
              <w:wordWrap/>
              <w:overflowPunct/>
              <w:topLinePunct w:val="0"/>
              <w:autoSpaceDE/>
              <w:autoSpaceDN w:val="0"/>
              <w:bidi w:val="0"/>
              <w:adjustRightInd w:val="0"/>
              <w:snapToGrid w:val="0"/>
              <w:spacing w:line="240" w:lineRule="exact"/>
              <w:ind w:firstLine="420" w:firstLineChars="200"/>
              <w:jc w:val="left"/>
              <w:textAlignment w:val="cente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t>【法律】《中华人民共和国审计法》(1994年8月31日第八届全国人民代表大会常务委员会第九次会议通过</w:t>
            </w:r>
            <w:r>
              <w:rPr>
                <w:rFonts w:hint="eastAsia" w:ascii="仿宋_GB2312" w:hAnsi="仿宋_GB2312" w:eastAsia="仿宋_GB2312" w:cs="仿宋_GB2312"/>
                <w:b w:val="0"/>
                <w:i w:val="0"/>
                <w:snapToGrid/>
                <w:color w:val="000000" w:themeColor="text1"/>
                <w:sz w:val="21"/>
                <w:szCs w:val="21"/>
                <w:u w:val="none"/>
                <w:lang w:val="en-US" w:eastAsia="zh-CN"/>
                <w14:textFill>
                  <w14:solidFill>
                    <w14:schemeClr w14:val="tx1"/>
                  </w14:solidFill>
                </w14:textFill>
              </w:rPr>
              <w:t xml:space="preserve"> </w:t>
            </w:r>
            <w: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t>根据2006年2月28日第十届全国人民代表大会常务委员会第二十次会议《关于修改〈中华人民共和国审计法》的决定》第一次修正</w:t>
            </w:r>
            <w:r>
              <w:rPr>
                <w:rFonts w:hint="eastAsia" w:ascii="仿宋_GB2312" w:hAnsi="仿宋_GB2312" w:eastAsia="仿宋_GB2312" w:cs="仿宋_GB2312"/>
                <w:b w:val="0"/>
                <w:i w:val="0"/>
                <w:snapToGrid/>
                <w:color w:val="000000" w:themeColor="text1"/>
                <w:sz w:val="21"/>
                <w:szCs w:val="21"/>
                <w:u w:val="none"/>
                <w:lang w:val="en-US" w:eastAsia="zh-CN"/>
                <w14:textFill>
                  <w14:solidFill>
                    <w14:schemeClr w14:val="tx1"/>
                  </w14:solidFill>
                </w14:textFill>
              </w:rPr>
              <w:t xml:space="preserve"> </w:t>
            </w:r>
            <w: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t>根据2021年10月23日第十三届全国人民代表大会常务委员会第三十一次会议《关于修改〈中华人民共和国审计法》的决定》第二次修正)</w:t>
            </w:r>
          </w:p>
          <w:p w14:paraId="51943CFB">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t xml:space="preserve">    第二条第三、四款 “国务院各部门和地方各级人民政府及其各部门的财政收支，国有的金融机构和企业事业组织的财务收支，以及其他依照本法规定应当接受审计的财政收支、财务收支，依照本法规定接受审计监督。</w:t>
            </w:r>
          </w:p>
          <w:p w14:paraId="1E303780">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t xml:space="preserve">    审计机关对前款所列财政收支或者财务收支的真实、合法和效益，依法进行审计监督。”</w:t>
            </w:r>
          </w:p>
          <w:p w14:paraId="75F6123D">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t xml:space="preserve">    第十八条 “审计机关对本级各部门（含直属单位）和下级政府预算的执行情况和决算以及其他财政收支情况，进行审计监督。”</w:t>
            </w:r>
          </w:p>
          <w:p w14:paraId="1D441D89">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t xml:space="preserve">    第十九条第二款 “地方各级审计机关分别在省长、自治区主席、市长、州长、县长、区长和上一级审计机关的领导下，对本级预算执行情况和其他财政收支情况进行审计监督，向本级人民政府和上一级审计机关提出审计结果报告。”</w:t>
            </w:r>
          </w:p>
          <w:p w14:paraId="63FDA15F">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t xml:space="preserve">    </w:t>
            </w:r>
          </w:p>
          <w:p w14:paraId="1AF326BE">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t xml:space="preserve">    第二十一条 “审计机关对国家的事业组织和使用财政资金的其他事业组织的财务收支，进行审计监督。”</w:t>
            </w:r>
          </w:p>
          <w:p w14:paraId="13423CC7">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t xml:space="preserve">    第二十二条第一款 “审计机关对国有企业、国有金融机构和国有资本占控股地位或者主导地位的企业、金融机构的资产、负债、损益，进行审计监督。”</w:t>
            </w:r>
          </w:p>
          <w:p w14:paraId="17C53E1C">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t xml:space="preserve">    第二十三条 “审计机关对政府投资和以政府投资为主的建设项目的预算执行情况和决算，对其他关系国家利益和公共利益的重大公共工程项目的资金管理使用和建设运营情况，进行审计监督。”</w:t>
            </w:r>
          </w:p>
          <w:p w14:paraId="40740545">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t xml:space="preserve">    第二十四条 第二款“审计机关对政府部门管理的和其他单位受政府委托管理的社会保障基金、社会捐赠资金以及其他有关基金、资金的财务收支，进行审计监督。”</w:t>
            </w:r>
          </w:p>
          <w:p w14:paraId="2A77C1FF">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t xml:space="preserve">    第二十五条 “审计机关对国际组织和外国政府援助、贷款项目的财务收支，进行审计监督。”</w:t>
            </w:r>
          </w:p>
          <w:p w14:paraId="3D20469B">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t xml:space="preserve">    第二十七条 “ 除本法规定的审计事项外，审计机关对其他法律、行政法规规定应当由审计机关进行审计的事项，依照本法和有关法律、行政法规的规定进行审计监督。”</w:t>
            </w:r>
          </w:p>
          <w:p w14:paraId="7EBAE500">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t xml:space="preserve">    第二十九条 “审计机关有权对与国家财政收支有关的特定事项，向有关地方、部门、单位进行专项审计调查，并向本级人民政府和上一级审计机关报告审计调查结果。”</w:t>
            </w:r>
          </w:p>
          <w:p w14:paraId="40AF3FC8">
            <w:pPr>
              <w:keepNext w:val="0"/>
              <w:keepLines w:val="0"/>
              <w:pageBreakBefore w:val="0"/>
              <w:widowControl/>
              <w:kinsoku/>
              <w:wordWrap/>
              <w:overflowPunct/>
              <w:topLinePunct w:val="0"/>
              <w:autoSpaceDE/>
              <w:autoSpaceDN w:val="0"/>
              <w:bidi w:val="0"/>
              <w:adjustRightInd w:val="0"/>
              <w:snapToGrid w:val="0"/>
              <w:spacing w:line="240" w:lineRule="exact"/>
              <w:ind w:firstLine="420" w:firstLineChars="200"/>
              <w:jc w:val="left"/>
              <w:textAlignment w:val="cente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t>【规范性文件】《国务院关于加强审计工作的意见》（国发〔2014〕48号）</w:t>
            </w:r>
          </w:p>
          <w:p w14:paraId="20F4BE0C">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t xml:space="preserve">    一、（一）“……对稳增长、促改革、调结构、惠民生、防风险等政策措施落实情况，以及公共资金、国有资产、国有资源、领导干部经济责任履行情况进行审计，实现审计监督全覆盖，促进国家治理现代化和国民经济健康发展。”</w:t>
            </w:r>
          </w:p>
          <w:p w14:paraId="1572CCB5">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t xml:space="preserve">    三、（八）“要加大对依法行政情况的审计力度，注意发现有法不依、执法不严等问题，促进法治政府建设，切实维护法律尊严……”</w:t>
            </w:r>
          </w:p>
          <w:p w14:paraId="65033D08">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t xml:space="preserve">    四、（十一）“凡是涉及管理、分配、使用公共资金、国有资产、国有资源的部门、单位和个人，都要自觉接受审计、配合审计，不得设置障碍……”</w:t>
            </w:r>
          </w:p>
          <w:p w14:paraId="47BD8C26">
            <w:pPr>
              <w:keepNext w:val="0"/>
              <w:keepLines w:val="0"/>
              <w:pageBreakBefore w:val="0"/>
              <w:widowControl/>
              <w:kinsoku/>
              <w:wordWrap/>
              <w:overflowPunct/>
              <w:topLinePunct w:val="0"/>
              <w:autoSpaceDE/>
              <w:autoSpaceDN w:val="0"/>
              <w:bidi w:val="0"/>
              <w:adjustRightInd w:val="0"/>
              <w:snapToGrid w:val="0"/>
              <w:spacing w:line="240" w:lineRule="exact"/>
              <w:ind w:firstLine="420" w:firstLineChars="200"/>
              <w:jc w:val="left"/>
              <w:textAlignment w:val="cente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t>【规范性文件】《党政主要领导干部和国有企业领导人员经济责任审计规定实施细则》（审经责发〔2014〕102号）</w:t>
            </w:r>
          </w:p>
          <w:p w14:paraId="50B1CC9E">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t xml:space="preserve">    第三条 “经济责任审计应当以促进领导干部推</w:t>
            </w:r>
          </w:p>
          <w:p w14:paraId="5857751F">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t>动本地区、本部门（系统）、本单位科学发展为目标，以领导干部任职期间本地区、本部门（系统）、本单位财政收支、财务收支以及有关经济活动的真实、合法和效益为基础，重点检查领导干部守法、守纪、守规、尽责情况，加强对领导干部行使权力</w:t>
            </w:r>
          </w:p>
          <w:p w14:paraId="1B22038D">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_GB2312" w:hAnsi="仿宋_GB2312" w:eastAsia="仿宋_GB2312" w:cs="仿宋_GB2312"/>
                <w:b w:val="0"/>
                <w:i w:val="0"/>
                <w:snapToGrid/>
                <w:color w:val="000000" w:themeColor="text1"/>
                <w:kern w:val="0"/>
                <w:sz w:val="21"/>
                <w:szCs w:val="21"/>
                <w:u w:val="none"/>
                <w:lang w:val="en-US" w:eastAsia="zh-CN" w:bidi="ar-SA"/>
                <w14:textFill>
                  <w14:solidFill>
                    <w14:schemeClr w14:val="tx1"/>
                  </w14:solidFill>
                </w14:textFill>
              </w:rPr>
            </w:pPr>
            <w: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t>的制约和监督，推进党风廉政建设和反腐败工作，推进国家治理体系和治理能力现代化。”</w:t>
            </w:r>
          </w:p>
        </w:tc>
        <w:tc>
          <w:tcPr>
            <w:tcW w:w="696" w:type="dxa"/>
            <w:vAlign w:val="center"/>
          </w:tcPr>
          <w:p w14:paraId="53945FC0">
            <w:pPr>
              <w:pStyle w:val="8"/>
              <w:keepNext w:val="0"/>
              <w:keepLines w:val="0"/>
              <w:pageBreakBefore w:val="0"/>
              <w:widowControl/>
              <w:wordWrap/>
              <w:overflowPunct/>
              <w:topLinePunct w:val="0"/>
              <w:autoSpaceDN w:val="0"/>
              <w:bidi w:val="0"/>
              <w:adjustRightInd w:val="0"/>
              <w:snapToGrid w:val="0"/>
              <w:spacing w:line="240" w:lineRule="exact"/>
              <w:jc w:val="center"/>
              <w:rPr>
                <w:rFonts w:hint="eastAsia" w:ascii="仿宋_GB2312" w:hAnsi="仿宋_GB2312" w:eastAsia="仿宋_GB2312" w:cs="仿宋_GB2312"/>
                <w:snapToGrid w:val="0"/>
                <w:color w:val="000000"/>
                <w:kern w:val="0"/>
                <w:sz w:val="21"/>
                <w:szCs w:val="21"/>
                <w:lang w:val="en-US" w:eastAsia="zh-CN" w:bidi="ar-SA"/>
              </w:rPr>
            </w:pPr>
            <w:r>
              <w:rPr>
                <w:rFonts w:hint="eastAsia" w:ascii="仿宋_GB2312" w:hAnsi="仿宋_GB2312" w:eastAsia="仿宋_GB2312" w:cs="仿宋_GB2312"/>
                <w:sz w:val="21"/>
                <w:szCs w:val="21"/>
                <w:lang w:eastAsia="zh-CN"/>
              </w:rPr>
              <w:t>陵川县审计局</w:t>
            </w:r>
          </w:p>
        </w:tc>
        <w:tc>
          <w:tcPr>
            <w:tcW w:w="965" w:type="dxa"/>
            <w:vAlign w:val="center"/>
          </w:tcPr>
          <w:p w14:paraId="5B6FA30C">
            <w:pPr>
              <w:pStyle w:val="8"/>
              <w:keepNext w:val="0"/>
              <w:keepLines w:val="0"/>
              <w:pageBreakBefore w:val="0"/>
              <w:widowControl/>
              <w:wordWrap/>
              <w:overflowPunct/>
              <w:topLinePunct w:val="0"/>
              <w:autoSpaceDN w:val="0"/>
              <w:bidi w:val="0"/>
              <w:adjustRightInd w:val="0"/>
              <w:snapToGrid w:val="0"/>
              <w:spacing w:line="240" w:lineRule="exact"/>
              <w:jc w:val="center"/>
              <w:rPr>
                <w:rFonts w:hint="eastAsia" w:ascii="仿宋_GB2312" w:hAnsi="仿宋_GB2312" w:eastAsia="仿宋_GB2312" w:cs="仿宋_GB2312"/>
                <w:snapToGrid w:val="0"/>
                <w:color w:val="000000"/>
                <w:kern w:val="0"/>
                <w:sz w:val="21"/>
                <w:szCs w:val="21"/>
                <w:lang w:val="en-US" w:eastAsia="zh-CN" w:bidi="ar-SA"/>
              </w:rPr>
            </w:pPr>
            <w:r>
              <w:rPr>
                <w:rFonts w:hint="eastAsia" w:ascii="仿宋_GB2312" w:hAnsi="仿宋_GB2312" w:eastAsia="仿宋_GB2312" w:cs="仿宋_GB2312"/>
                <w:sz w:val="21"/>
                <w:szCs w:val="21"/>
                <w:lang w:eastAsia="zh-CN"/>
              </w:rPr>
              <w:t>陵川县审计局</w:t>
            </w:r>
          </w:p>
        </w:tc>
        <w:tc>
          <w:tcPr>
            <w:tcW w:w="784" w:type="dxa"/>
            <w:vAlign w:val="top"/>
          </w:tcPr>
          <w:p w14:paraId="3256B010">
            <w:pPr>
              <w:pStyle w:val="8"/>
              <w:rPr>
                <w:rFonts w:hint="eastAsia" w:ascii="仿宋_GB2312" w:hAnsi="仿宋_GB2312" w:eastAsia="仿宋_GB2312" w:cs="仿宋_GB2312"/>
                <w:sz w:val="21"/>
                <w:szCs w:val="21"/>
              </w:rPr>
            </w:pPr>
          </w:p>
        </w:tc>
      </w:tr>
      <w:tr w14:paraId="78C0556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80" w:hRule="atLeast"/>
        </w:trPr>
        <w:tc>
          <w:tcPr>
            <w:tcW w:w="840" w:type="dxa"/>
            <w:vAlign w:val="center"/>
          </w:tcPr>
          <w:p w14:paraId="13181D28">
            <w:pPr>
              <w:keepNext w:val="0"/>
              <w:keepLines w:val="0"/>
              <w:pageBreakBefore w:val="0"/>
              <w:widowControl/>
              <w:kinsoku/>
              <w:wordWrap/>
              <w:overflowPunct/>
              <w:topLinePunct w:val="0"/>
              <w:autoSpaceDE/>
              <w:autoSpaceDN w:val="0"/>
              <w:bidi w:val="0"/>
              <w:adjustRightInd w:val="0"/>
              <w:snapToGrid w:val="0"/>
              <w:spacing w:line="240" w:lineRule="exact"/>
              <w:jc w:val="center"/>
              <w:textAlignment w:val="center"/>
              <w:rPr>
                <w:rFonts w:hint="eastAsia" w:ascii="仿宋_GB2312" w:hAnsi="仿宋_GB2312" w:eastAsia="仿宋_GB2312" w:cs="仿宋_GB2312"/>
                <w:b w:val="0"/>
                <w:i w:val="0"/>
                <w:snapToGrid/>
                <w:color w:val="000000" w:themeColor="text1"/>
                <w:kern w:val="0"/>
                <w:sz w:val="21"/>
                <w:szCs w:val="21"/>
                <w:u w:val="none"/>
                <w:lang w:val="en-US" w:eastAsia="zh-CN" w:bidi="ar-SA"/>
                <w14:textFill>
                  <w14:solidFill>
                    <w14:schemeClr w14:val="tx1"/>
                  </w14:solidFill>
                </w14:textFill>
              </w:rPr>
            </w:pPr>
            <w:r>
              <w:rPr>
                <w:rFonts w:hint="eastAsia" w:ascii="仿宋_GB2312" w:hAnsi="仿宋_GB2312" w:eastAsia="仿宋_GB2312" w:cs="仿宋_GB2312"/>
                <w:b w:val="0"/>
                <w:i w:val="0"/>
                <w:snapToGrid/>
                <w:color w:val="000000" w:themeColor="text1"/>
                <w:sz w:val="21"/>
                <w:szCs w:val="21"/>
                <w:u w:val="none"/>
                <w:lang w:val="en-US" w:eastAsia="zh-CN"/>
                <w14:textFill>
                  <w14:solidFill>
                    <w14:schemeClr w14:val="tx1"/>
                  </w14:solidFill>
                </w14:textFill>
              </w:rPr>
              <w:t>7</w:t>
            </w:r>
          </w:p>
        </w:tc>
        <w:tc>
          <w:tcPr>
            <w:tcW w:w="2710" w:type="dxa"/>
            <w:vAlign w:val="center"/>
          </w:tcPr>
          <w:p w14:paraId="0736BCB6">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_GB2312" w:hAnsi="仿宋_GB2312" w:eastAsia="仿宋_GB2312" w:cs="仿宋_GB2312"/>
                <w:b w:val="0"/>
                <w:i w:val="0"/>
                <w:snapToGrid/>
                <w:color w:val="000000" w:themeColor="text1"/>
                <w:kern w:val="0"/>
                <w:sz w:val="21"/>
                <w:szCs w:val="21"/>
                <w:u w:val="none"/>
                <w:lang w:val="en-US" w:eastAsia="zh-CN" w:bidi="ar-SA"/>
                <w14:textFill>
                  <w14:solidFill>
                    <w14:schemeClr w14:val="tx1"/>
                  </w14:solidFill>
                </w14:textFill>
              </w:rPr>
            </w:pPr>
            <w: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t>对社会审计机构审计的单位依法属于审计机关审计监督对象的，对该社会审计机构出具的相关审计报告进行核查</w:t>
            </w:r>
          </w:p>
        </w:tc>
        <w:tc>
          <w:tcPr>
            <w:tcW w:w="868" w:type="dxa"/>
            <w:vAlign w:val="center"/>
          </w:tcPr>
          <w:p w14:paraId="409E4D37">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_GB2312" w:hAnsi="仿宋_GB2312" w:eastAsia="仿宋_GB2312" w:cs="仿宋_GB2312"/>
                <w:b w:val="0"/>
                <w:i w:val="0"/>
                <w:snapToGrid/>
                <w:color w:val="000000" w:themeColor="text1"/>
                <w:kern w:val="0"/>
                <w:sz w:val="21"/>
                <w:szCs w:val="21"/>
                <w:u w:val="none"/>
                <w:lang w:val="en-US" w:eastAsia="zh-CN" w:bidi="ar-SA"/>
                <w14:textFill>
                  <w14:solidFill>
                    <w14:schemeClr w14:val="tx1"/>
                  </w14:solidFill>
                </w14:textFill>
              </w:rPr>
            </w:pPr>
            <w: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t>其他行政执法事项</w:t>
            </w:r>
          </w:p>
        </w:tc>
        <w:tc>
          <w:tcPr>
            <w:tcW w:w="7811" w:type="dxa"/>
            <w:vAlign w:val="center"/>
          </w:tcPr>
          <w:p w14:paraId="403A0CBE">
            <w:pPr>
              <w:keepNext w:val="0"/>
              <w:keepLines w:val="0"/>
              <w:pageBreakBefore w:val="0"/>
              <w:widowControl/>
              <w:kinsoku/>
              <w:wordWrap/>
              <w:overflowPunct/>
              <w:topLinePunct w:val="0"/>
              <w:autoSpaceDE/>
              <w:autoSpaceDN w:val="0"/>
              <w:bidi w:val="0"/>
              <w:adjustRightInd w:val="0"/>
              <w:snapToGrid w:val="0"/>
              <w:spacing w:line="240" w:lineRule="exact"/>
              <w:ind w:firstLine="420" w:firstLineChars="200"/>
              <w:jc w:val="left"/>
              <w:textAlignment w:val="cente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t>【法律】《中华人民共和国审计法》(1994年8月31日第八届全国人民代表大会常务委员会第九次会议通过</w:t>
            </w:r>
            <w:r>
              <w:rPr>
                <w:rFonts w:hint="eastAsia" w:ascii="仿宋_GB2312" w:hAnsi="仿宋_GB2312" w:eastAsia="仿宋_GB2312" w:cs="仿宋_GB2312"/>
                <w:b w:val="0"/>
                <w:i w:val="0"/>
                <w:snapToGrid/>
                <w:color w:val="000000" w:themeColor="text1"/>
                <w:sz w:val="21"/>
                <w:szCs w:val="21"/>
                <w:u w:val="none"/>
                <w:lang w:val="en-US" w:eastAsia="zh-CN"/>
                <w14:textFill>
                  <w14:solidFill>
                    <w14:schemeClr w14:val="tx1"/>
                  </w14:solidFill>
                </w14:textFill>
              </w:rPr>
              <w:t xml:space="preserve"> </w:t>
            </w:r>
            <w: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t>根据2006年2月28日第十届全国人民代表大会常务委员会第二十次会议《关于修改〈中华人民共和国审计法》的决定》第一次修正</w:t>
            </w:r>
            <w:r>
              <w:rPr>
                <w:rFonts w:hint="eastAsia" w:ascii="仿宋_GB2312" w:hAnsi="仿宋_GB2312" w:eastAsia="仿宋_GB2312" w:cs="仿宋_GB2312"/>
                <w:b w:val="0"/>
                <w:i w:val="0"/>
                <w:snapToGrid/>
                <w:color w:val="000000" w:themeColor="text1"/>
                <w:sz w:val="21"/>
                <w:szCs w:val="21"/>
                <w:u w:val="none"/>
                <w:lang w:val="en-US" w:eastAsia="zh-CN"/>
                <w14:textFill>
                  <w14:solidFill>
                    <w14:schemeClr w14:val="tx1"/>
                  </w14:solidFill>
                </w14:textFill>
              </w:rPr>
              <w:t xml:space="preserve"> </w:t>
            </w:r>
            <w: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t>根据2021年10月23日第十三届全国人民代表大会常务委员会第三十一次会议《关于修改〈中华人民共和国审计法》的决定》第二次修正)</w:t>
            </w:r>
          </w:p>
          <w:p w14:paraId="27464676">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t xml:space="preserve">    第三十三条  “社会审计机构审计的单位依法属于审计机关审计监督对象的，审计机关按照国务院的规定，有权对该社会审计机构出具的相关审计报告进行核查。”</w:t>
            </w:r>
          </w:p>
          <w:p w14:paraId="677DCFB3">
            <w:pPr>
              <w:keepNext w:val="0"/>
              <w:keepLines w:val="0"/>
              <w:pageBreakBefore w:val="0"/>
              <w:widowControl/>
              <w:kinsoku/>
              <w:wordWrap/>
              <w:overflowPunct/>
              <w:topLinePunct w:val="0"/>
              <w:autoSpaceDE/>
              <w:autoSpaceDN w:val="0"/>
              <w:bidi w:val="0"/>
              <w:adjustRightInd w:val="0"/>
              <w:snapToGrid w:val="0"/>
              <w:spacing w:line="240" w:lineRule="exact"/>
              <w:ind w:firstLine="420" w:firstLineChars="200"/>
              <w:jc w:val="left"/>
              <w:textAlignment w:val="cente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t>【行政法规】《中华人民共和国审计法实施条例》（1997年10月21日中华人民共和国国务院令第231号公布</w:t>
            </w:r>
            <w:r>
              <w:rPr>
                <w:rFonts w:hint="eastAsia" w:ascii="仿宋_GB2312" w:hAnsi="仿宋_GB2312" w:eastAsia="仿宋_GB2312" w:cs="仿宋_GB2312"/>
                <w:b w:val="0"/>
                <w:i w:val="0"/>
                <w:snapToGrid/>
                <w:color w:val="000000" w:themeColor="text1"/>
                <w:sz w:val="21"/>
                <w:szCs w:val="21"/>
                <w:u w:val="none"/>
                <w:lang w:val="en-US" w:eastAsia="zh-CN"/>
                <w14:textFill>
                  <w14:solidFill>
                    <w14:schemeClr w14:val="tx1"/>
                  </w14:solidFill>
                </w14:textFill>
              </w:rPr>
              <w:t xml:space="preserve"> </w:t>
            </w:r>
            <w: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t>2010年2月2日国务院第100次常务会议修订通过</w:t>
            </w:r>
            <w:r>
              <w:rPr>
                <w:rFonts w:hint="eastAsia" w:ascii="仿宋_GB2312" w:hAnsi="仿宋_GB2312" w:eastAsia="仿宋_GB2312" w:cs="仿宋_GB2312"/>
                <w:b w:val="0"/>
                <w:i w:val="0"/>
                <w:snapToGrid/>
                <w:color w:val="000000" w:themeColor="text1"/>
                <w:sz w:val="21"/>
                <w:szCs w:val="21"/>
                <w:u w:val="none"/>
                <w:lang w:val="en-US" w:eastAsia="zh-CN"/>
                <w14:textFill>
                  <w14:solidFill>
                    <w14:schemeClr w14:val="tx1"/>
                  </w14:solidFill>
                </w14:textFill>
              </w:rPr>
              <w:t xml:space="preserve"> </w:t>
            </w:r>
            <w: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t>2010年2月11日中华人民共和国国务院令第571号公布</w:t>
            </w:r>
            <w:r>
              <w:rPr>
                <w:rFonts w:hint="eastAsia" w:ascii="仿宋_GB2312" w:hAnsi="仿宋_GB2312" w:eastAsia="仿宋_GB2312" w:cs="仿宋_GB2312"/>
                <w:b w:val="0"/>
                <w:i w:val="0"/>
                <w:snapToGrid/>
                <w:color w:val="000000" w:themeColor="text1"/>
                <w:sz w:val="21"/>
                <w:szCs w:val="21"/>
                <w:u w:val="none"/>
                <w:lang w:val="en-US" w:eastAsia="zh-CN"/>
                <w14:textFill>
                  <w14:solidFill>
                    <w14:schemeClr w14:val="tx1"/>
                  </w14:solidFill>
                </w14:textFill>
              </w:rPr>
              <w:t xml:space="preserve"> </w:t>
            </w:r>
            <w: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t>自2010年5月1日起施行）</w:t>
            </w:r>
          </w:p>
          <w:p w14:paraId="47BDDF0C">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t xml:space="preserve">    第二十七条  “审计机关进行审计或者专项审计调查时，有权对社会审计机构出具的相关审计报告进行核查。</w:t>
            </w:r>
          </w:p>
          <w:p w14:paraId="4B0CF762">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_GB2312" w:hAnsi="仿宋_GB2312" w:eastAsia="仿宋_GB2312" w:cs="仿宋_GB2312"/>
                <w:b w:val="0"/>
                <w:i w:val="0"/>
                <w:snapToGrid/>
                <w:color w:val="000000" w:themeColor="text1"/>
                <w:kern w:val="0"/>
                <w:sz w:val="21"/>
                <w:szCs w:val="21"/>
                <w:u w:val="none"/>
                <w:lang w:val="en-US" w:eastAsia="zh-CN" w:bidi="ar-SA"/>
                <w14:textFill>
                  <w14:solidFill>
                    <w14:schemeClr w14:val="tx1"/>
                  </w14:solidFill>
                </w14:textFill>
              </w:rPr>
            </w:pPr>
            <w: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t xml:space="preserve">    审计机关核查社会审计机构出具的相关审计报告时，发现社会审计机构存在违反法律、法规或者执业准则等情况的，应当移送有关主管机关依法追究责任。”</w:t>
            </w:r>
          </w:p>
        </w:tc>
        <w:tc>
          <w:tcPr>
            <w:tcW w:w="696" w:type="dxa"/>
            <w:vAlign w:val="center"/>
          </w:tcPr>
          <w:p w14:paraId="7031991A">
            <w:pPr>
              <w:pStyle w:val="8"/>
              <w:keepNext w:val="0"/>
              <w:keepLines w:val="0"/>
              <w:pageBreakBefore w:val="0"/>
              <w:widowControl/>
              <w:wordWrap/>
              <w:overflowPunct/>
              <w:topLinePunct w:val="0"/>
              <w:autoSpaceDN w:val="0"/>
              <w:bidi w:val="0"/>
              <w:adjustRightInd w:val="0"/>
              <w:snapToGrid w:val="0"/>
              <w:spacing w:line="240" w:lineRule="exact"/>
              <w:jc w:val="center"/>
              <w:rPr>
                <w:rFonts w:hint="eastAsia" w:ascii="仿宋_GB2312" w:hAnsi="仿宋_GB2312" w:eastAsia="仿宋_GB2312" w:cs="仿宋_GB2312"/>
                <w:snapToGrid w:val="0"/>
                <w:color w:val="000000"/>
                <w:kern w:val="0"/>
                <w:sz w:val="21"/>
                <w:szCs w:val="21"/>
                <w:lang w:val="en-US" w:eastAsia="zh-CN" w:bidi="ar-SA"/>
              </w:rPr>
            </w:pPr>
            <w:r>
              <w:rPr>
                <w:rFonts w:hint="eastAsia" w:ascii="仿宋_GB2312" w:hAnsi="仿宋_GB2312" w:eastAsia="仿宋_GB2312" w:cs="仿宋_GB2312"/>
                <w:sz w:val="21"/>
                <w:szCs w:val="21"/>
                <w:lang w:eastAsia="zh-CN"/>
              </w:rPr>
              <w:t>陵川县审计局</w:t>
            </w:r>
          </w:p>
        </w:tc>
        <w:tc>
          <w:tcPr>
            <w:tcW w:w="965" w:type="dxa"/>
            <w:vAlign w:val="center"/>
          </w:tcPr>
          <w:p w14:paraId="496F11BA">
            <w:pPr>
              <w:pStyle w:val="8"/>
              <w:keepNext w:val="0"/>
              <w:keepLines w:val="0"/>
              <w:pageBreakBefore w:val="0"/>
              <w:widowControl/>
              <w:wordWrap/>
              <w:overflowPunct/>
              <w:topLinePunct w:val="0"/>
              <w:autoSpaceDN w:val="0"/>
              <w:bidi w:val="0"/>
              <w:adjustRightInd w:val="0"/>
              <w:snapToGrid w:val="0"/>
              <w:spacing w:line="240" w:lineRule="exact"/>
              <w:jc w:val="center"/>
              <w:rPr>
                <w:rFonts w:hint="eastAsia" w:ascii="仿宋_GB2312" w:hAnsi="仿宋_GB2312" w:eastAsia="仿宋_GB2312" w:cs="仿宋_GB2312"/>
                <w:snapToGrid w:val="0"/>
                <w:color w:val="000000"/>
                <w:kern w:val="0"/>
                <w:sz w:val="21"/>
                <w:szCs w:val="21"/>
                <w:lang w:val="en-US" w:eastAsia="zh-CN" w:bidi="ar-SA"/>
              </w:rPr>
            </w:pPr>
            <w:r>
              <w:rPr>
                <w:rFonts w:hint="eastAsia" w:ascii="仿宋_GB2312" w:hAnsi="仿宋_GB2312" w:eastAsia="仿宋_GB2312" w:cs="仿宋_GB2312"/>
                <w:sz w:val="21"/>
                <w:szCs w:val="21"/>
                <w:lang w:eastAsia="zh-CN"/>
              </w:rPr>
              <w:t>陵川县审计局</w:t>
            </w:r>
          </w:p>
        </w:tc>
        <w:tc>
          <w:tcPr>
            <w:tcW w:w="784" w:type="dxa"/>
            <w:vAlign w:val="top"/>
          </w:tcPr>
          <w:p w14:paraId="1C617695">
            <w:pPr>
              <w:pStyle w:val="8"/>
              <w:rPr>
                <w:rFonts w:hint="eastAsia" w:ascii="仿宋_GB2312" w:hAnsi="仿宋_GB2312" w:eastAsia="仿宋_GB2312" w:cs="仿宋_GB2312"/>
                <w:sz w:val="21"/>
                <w:szCs w:val="21"/>
              </w:rPr>
            </w:pPr>
          </w:p>
        </w:tc>
      </w:tr>
      <w:tr w14:paraId="738DFE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7" w:hRule="atLeast"/>
        </w:trPr>
        <w:tc>
          <w:tcPr>
            <w:tcW w:w="840" w:type="dxa"/>
            <w:vAlign w:val="center"/>
          </w:tcPr>
          <w:p w14:paraId="5B4E86F8">
            <w:pPr>
              <w:keepNext w:val="0"/>
              <w:keepLines w:val="0"/>
              <w:pageBreakBefore w:val="0"/>
              <w:widowControl/>
              <w:kinsoku/>
              <w:wordWrap/>
              <w:overflowPunct/>
              <w:topLinePunct w:val="0"/>
              <w:autoSpaceDE/>
              <w:autoSpaceDN w:val="0"/>
              <w:bidi w:val="0"/>
              <w:adjustRightInd w:val="0"/>
              <w:snapToGrid w:val="0"/>
              <w:spacing w:line="240" w:lineRule="exact"/>
              <w:jc w:val="center"/>
              <w:textAlignment w:val="center"/>
              <w:rPr>
                <w:rFonts w:hint="eastAsia" w:ascii="仿宋_GB2312" w:hAnsi="仿宋_GB2312" w:eastAsia="仿宋_GB2312" w:cs="仿宋_GB2312"/>
                <w:b w:val="0"/>
                <w:i w:val="0"/>
                <w:snapToGrid/>
                <w:color w:val="000000" w:themeColor="text1"/>
                <w:kern w:val="0"/>
                <w:sz w:val="21"/>
                <w:szCs w:val="21"/>
                <w:u w:val="none"/>
                <w:lang w:val="en-US" w:eastAsia="zh-CN" w:bidi="ar-SA"/>
                <w14:textFill>
                  <w14:solidFill>
                    <w14:schemeClr w14:val="tx1"/>
                  </w14:solidFill>
                </w14:textFill>
              </w:rPr>
            </w:pPr>
            <w:r>
              <w:rPr>
                <w:rFonts w:hint="eastAsia" w:ascii="仿宋_GB2312" w:hAnsi="仿宋_GB2312" w:eastAsia="仿宋_GB2312" w:cs="仿宋_GB2312"/>
                <w:b w:val="0"/>
                <w:i w:val="0"/>
                <w:snapToGrid/>
                <w:color w:val="000000" w:themeColor="text1"/>
                <w:sz w:val="21"/>
                <w:szCs w:val="21"/>
                <w:u w:val="none"/>
                <w:lang w:val="en-US" w:eastAsia="zh-CN"/>
                <w14:textFill>
                  <w14:solidFill>
                    <w14:schemeClr w14:val="tx1"/>
                  </w14:solidFill>
                </w14:textFill>
              </w:rPr>
              <w:t>8</w:t>
            </w:r>
          </w:p>
        </w:tc>
        <w:tc>
          <w:tcPr>
            <w:tcW w:w="2710" w:type="dxa"/>
            <w:vAlign w:val="center"/>
          </w:tcPr>
          <w:p w14:paraId="16A8D850">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_GB2312" w:hAnsi="仿宋_GB2312" w:eastAsia="仿宋_GB2312" w:cs="仿宋_GB2312"/>
                <w:b w:val="0"/>
                <w:i w:val="0"/>
                <w:snapToGrid/>
                <w:color w:val="000000" w:themeColor="text1"/>
                <w:kern w:val="0"/>
                <w:sz w:val="21"/>
                <w:szCs w:val="21"/>
                <w:u w:val="none"/>
                <w:lang w:val="en-US" w:eastAsia="zh-CN" w:bidi="ar-SA"/>
                <w14:textFill>
                  <w14:solidFill>
                    <w14:schemeClr w14:val="tx1"/>
                  </w14:solidFill>
                </w14:textFill>
              </w:rPr>
            </w:pPr>
            <w: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t>对被审计单位的内部审计工作进行业务指导和监督</w:t>
            </w:r>
          </w:p>
        </w:tc>
        <w:tc>
          <w:tcPr>
            <w:tcW w:w="868" w:type="dxa"/>
            <w:vAlign w:val="center"/>
          </w:tcPr>
          <w:p w14:paraId="490D16D6">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_GB2312" w:hAnsi="仿宋_GB2312" w:eastAsia="仿宋_GB2312" w:cs="仿宋_GB2312"/>
                <w:b w:val="0"/>
                <w:i w:val="0"/>
                <w:snapToGrid/>
                <w:color w:val="000000" w:themeColor="text1"/>
                <w:kern w:val="0"/>
                <w:sz w:val="21"/>
                <w:szCs w:val="21"/>
                <w:u w:val="none"/>
                <w:lang w:val="en-US" w:eastAsia="zh-CN" w:bidi="ar-SA"/>
                <w14:textFill>
                  <w14:solidFill>
                    <w14:schemeClr w14:val="tx1"/>
                  </w14:solidFill>
                </w14:textFill>
              </w:rPr>
            </w:pPr>
            <w: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t>其他行政执法事项</w:t>
            </w:r>
          </w:p>
        </w:tc>
        <w:tc>
          <w:tcPr>
            <w:tcW w:w="7811" w:type="dxa"/>
            <w:vAlign w:val="center"/>
          </w:tcPr>
          <w:p w14:paraId="1A00F469">
            <w:pPr>
              <w:keepNext w:val="0"/>
              <w:keepLines w:val="0"/>
              <w:pageBreakBefore w:val="0"/>
              <w:widowControl/>
              <w:kinsoku/>
              <w:wordWrap/>
              <w:overflowPunct/>
              <w:topLinePunct w:val="0"/>
              <w:autoSpaceDE/>
              <w:autoSpaceDN w:val="0"/>
              <w:bidi w:val="0"/>
              <w:adjustRightInd w:val="0"/>
              <w:snapToGrid w:val="0"/>
              <w:spacing w:line="240" w:lineRule="exact"/>
              <w:ind w:firstLine="420" w:firstLineChars="200"/>
              <w:jc w:val="left"/>
              <w:textAlignment w:val="cente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t>【法律】《中华人民共和国审计法》(1994年8月31日第八届全国人民代表大会常务委员会第九次会议通过</w:t>
            </w:r>
            <w:r>
              <w:rPr>
                <w:rFonts w:hint="eastAsia" w:ascii="仿宋_GB2312" w:hAnsi="仿宋_GB2312" w:eastAsia="仿宋_GB2312" w:cs="仿宋_GB2312"/>
                <w:b w:val="0"/>
                <w:i w:val="0"/>
                <w:snapToGrid/>
                <w:color w:val="000000" w:themeColor="text1"/>
                <w:sz w:val="21"/>
                <w:szCs w:val="21"/>
                <w:u w:val="none"/>
                <w:lang w:val="en-US" w:eastAsia="zh-CN"/>
                <w14:textFill>
                  <w14:solidFill>
                    <w14:schemeClr w14:val="tx1"/>
                  </w14:solidFill>
                </w14:textFill>
              </w:rPr>
              <w:t xml:space="preserve"> </w:t>
            </w:r>
            <w: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t>根据2006年2月28日第十届全国人民代表大会常务委员会第二十次会议《关于修改〈中华人民共和国审计法》的决定》第一次修正</w:t>
            </w:r>
            <w:r>
              <w:rPr>
                <w:rFonts w:hint="eastAsia" w:ascii="仿宋_GB2312" w:hAnsi="仿宋_GB2312" w:eastAsia="仿宋_GB2312" w:cs="仿宋_GB2312"/>
                <w:b w:val="0"/>
                <w:i w:val="0"/>
                <w:snapToGrid/>
                <w:color w:val="000000" w:themeColor="text1"/>
                <w:sz w:val="21"/>
                <w:szCs w:val="21"/>
                <w:u w:val="none"/>
                <w:lang w:val="en-US" w:eastAsia="zh-CN"/>
                <w14:textFill>
                  <w14:solidFill>
                    <w14:schemeClr w14:val="tx1"/>
                  </w14:solidFill>
                </w14:textFill>
              </w:rPr>
              <w:t xml:space="preserve"> </w:t>
            </w:r>
            <w: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t>根据2021年10月23日第十三届全国人民代表大会常务委员会第三十一次会议《关于修改〈中华人民共和国审计法》的决定》第二次修正)</w:t>
            </w:r>
          </w:p>
          <w:p w14:paraId="55C471FE">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t xml:space="preserve">    第三十二条 “被审计单位应当加强对内部审计工作的领导，按照国家有关规定建立健全内部审计制度。</w:t>
            </w:r>
          </w:p>
          <w:p w14:paraId="455F1CEA">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t xml:space="preserve">    审计机关应当对被审计单位的内部审计工作进行业务指导和监督。”</w:t>
            </w:r>
          </w:p>
          <w:p w14:paraId="1325B40D">
            <w:pPr>
              <w:keepNext w:val="0"/>
              <w:keepLines w:val="0"/>
              <w:pageBreakBefore w:val="0"/>
              <w:widowControl/>
              <w:kinsoku/>
              <w:wordWrap/>
              <w:overflowPunct/>
              <w:topLinePunct w:val="0"/>
              <w:autoSpaceDE/>
              <w:autoSpaceDN w:val="0"/>
              <w:bidi w:val="0"/>
              <w:adjustRightInd w:val="0"/>
              <w:snapToGrid w:val="0"/>
              <w:spacing w:line="240" w:lineRule="exact"/>
              <w:ind w:firstLine="420" w:firstLineChars="200"/>
              <w:jc w:val="left"/>
              <w:textAlignment w:val="cente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t>【行政法规】（1997年10月21日中华人民共和国国务院令第231号公布</w:t>
            </w:r>
            <w:r>
              <w:rPr>
                <w:rFonts w:hint="eastAsia" w:ascii="仿宋_GB2312" w:hAnsi="仿宋_GB2312" w:eastAsia="仿宋_GB2312" w:cs="仿宋_GB2312"/>
                <w:b w:val="0"/>
                <w:i w:val="0"/>
                <w:snapToGrid/>
                <w:color w:val="000000" w:themeColor="text1"/>
                <w:sz w:val="21"/>
                <w:szCs w:val="21"/>
                <w:u w:val="none"/>
                <w:lang w:val="en-US" w:eastAsia="zh-CN"/>
                <w14:textFill>
                  <w14:solidFill>
                    <w14:schemeClr w14:val="tx1"/>
                  </w14:solidFill>
                </w14:textFill>
              </w:rPr>
              <w:t xml:space="preserve"> </w:t>
            </w:r>
            <w: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t>2010年2月2日国务院第100次常务会议修订通过</w:t>
            </w:r>
            <w:r>
              <w:rPr>
                <w:rFonts w:hint="eastAsia" w:ascii="仿宋_GB2312" w:hAnsi="仿宋_GB2312" w:eastAsia="仿宋_GB2312" w:cs="仿宋_GB2312"/>
                <w:b w:val="0"/>
                <w:i w:val="0"/>
                <w:snapToGrid/>
                <w:color w:val="000000" w:themeColor="text1"/>
                <w:sz w:val="21"/>
                <w:szCs w:val="21"/>
                <w:u w:val="none"/>
                <w:lang w:val="en-US" w:eastAsia="zh-CN"/>
                <w14:textFill>
                  <w14:solidFill>
                    <w14:schemeClr w14:val="tx1"/>
                  </w14:solidFill>
                </w14:textFill>
              </w:rPr>
              <w:t xml:space="preserve"> </w:t>
            </w:r>
            <w: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t>2010年2月11日中华人民共和国国务院令第571号公布</w:t>
            </w:r>
            <w:r>
              <w:rPr>
                <w:rFonts w:hint="eastAsia" w:ascii="仿宋_GB2312" w:hAnsi="仿宋_GB2312" w:eastAsia="仿宋_GB2312" w:cs="仿宋_GB2312"/>
                <w:b w:val="0"/>
                <w:i w:val="0"/>
                <w:snapToGrid/>
                <w:color w:val="000000" w:themeColor="text1"/>
                <w:sz w:val="21"/>
                <w:szCs w:val="21"/>
                <w:u w:val="none"/>
                <w:lang w:val="en-US" w:eastAsia="zh-CN"/>
                <w14:textFill>
                  <w14:solidFill>
                    <w14:schemeClr w14:val="tx1"/>
                  </w14:solidFill>
                </w14:textFill>
              </w:rPr>
              <w:t xml:space="preserve"> </w:t>
            </w:r>
            <w: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t>自2010年5月1日起施行）</w:t>
            </w:r>
          </w:p>
          <w:p w14:paraId="12C3B3CC">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t xml:space="preserve">    第二十六条 “依法属于审计机关审计监督对象的单位的内部审计工作，应当接受审计机关的业务指导和监督。</w:t>
            </w:r>
          </w:p>
          <w:p w14:paraId="458D0E20">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_GB2312" w:hAnsi="仿宋_GB2312" w:eastAsia="仿宋_GB2312" w:cs="仿宋_GB2312"/>
                <w:b w:val="0"/>
                <w:i w:val="0"/>
                <w:snapToGrid/>
                <w:color w:val="000000" w:themeColor="text1"/>
                <w:kern w:val="0"/>
                <w:sz w:val="21"/>
                <w:szCs w:val="21"/>
                <w:u w:val="none"/>
                <w:lang w:val="en-US" w:eastAsia="zh-CN" w:bidi="ar-SA"/>
                <w14:textFill>
                  <w14:solidFill>
                    <w14:schemeClr w14:val="tx1"/>
                  </w14:solidFill>
                </w14:textFill>
              </w:rPr>
            </w:pPr>
            <w: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t xml:space="preserve">    依法属于审计机关审计监督对象的单位，可以根据内部审计工作的需要，参加依法成立的内部审计自律组织。审计机关可以通过内部审计自律组织，加强对内部审计工作的业务指导和监督。”</w:t>
            </w:r>
          </w:p>
        </w:tc>
        <w:tc>
          <w:tcPr>
            <w:tcW w:w="696" w:type="dxa"/>
            <w:vAlign w:val="center"/>
          </w:tcPr>
          <w:p w14:paraId="0815CCED">
            <w:pPr>
              <w:pStyle w:val="8"/>
              <w:keepNext w:val="0"/>
              <w:keepLines w:val="0"/>
              <w:pageBreakBefore w:val="0"/>
              <w:widowControl/>
              <w:wordWrap/>
              <w:overflowPunct/>
              <w:topLinePunct w:val="0"/>
              <w:autoSpaceDN w:val="0"/>
              <w:bidi w:val="0"/>
              <w:adjustRightInd w:val="0"/>
              <w:snapToGrid w:val="0"/>
              <w:spacing w:line="240" w:lineRule="exact"/>
              <w:jc w:val="center"/>
              <w:rPr>
                <w:rFonts w:hint="eastAsia" w:ascii="仿宋_GB2312" w:hAnsi="仿宋_GB2312" w:eastAsia="仿宋_GB2312" w:cs="仿宋_GB2312"/>
                <w:snapToGrid w:val="0"/>
                <w:color w:val="000000"/>
                <w:kern w:val="0"/>
                <w:sz w:val="21"/>
                <w:szCs w:val="21"/>
                <w:lang w:val="en-US" w:eastAsia="zh-CN" w:bidi="ar-SA"/>
              </w:rPr>
            </w:pPr>
            <w:r>
              <w:rPr>
                <w:rFonts w:hint="eastAsia" w:ascii="仿宋_GB2312" w:hAnsi="仿宋_GB2312" w:eastAsia="仿宋_GB2312" w:cs="仿宋_GB2312"/>
                <w:sz w:val="21"/>
                <w:szCs w:val="21"/>
                <w:lang w:eastAsia="zh-CN"/>
              </w:rPr>
              <w:t>陵川县审计局</w:t>
            </w:r>
          </w:p>
        </w:tc>
        <w:tc>
          <w:tcPr>
            <w:tcW w:w="965" w:type="dxa"/>
            <w:vAlign w:val="center"/>
          </w:tcPr>
          <w:p w14:paraId="075181D5">
            <w:pPr>
              <w:pStyle w:val="8"/>
              <w:keepNext w:val="0"/>
              <w:keepLines w:val="0"/>
              <w:pageBreakBefore w:val="0"/>
              <w:widowControl/>
              <w:wordWrap/>
              <w:overflowPunct/>
              <w:topLinePunct w:val="0"/>
              <w:autoSpaceDN w:val="0"/>
              <w:bidi w:val="0"/>
              <w:adjustRightInd w:val="0"/>
              <w:snapToGrid w:val="0"/>
              <w:spacing w:line="240" w:lineRule="exact"/>
              <w:jc w:val="center"/>
              <w:rPr>
                <w:rFonts w:hint="eastAsia" w:ascii="仿宋_GB2312" w:hAnsi="仿宋_GB2312" w:eastAsia="仿宋_GB2312" w:cs="仿宋_GB2312"/>
                <w:snapToGrid w:val="0"/>
                <w:color w:val="000000"/>
                <w:kern w:val="0"/>
                <w:sz w:val="21"/>
                <w:szCs w:val="21"/>
                <w:lang w:val="en-US" w:eastAsia="zh-CN" w:bidi="ar-SA"/>
              </w:rPr>
            </w:pPr>
            <w:r>
              <w:rPr>
                <w:rFonts w:hint="eastAsia" w:ascii="仿宋_GB2312" w:hAnsi="仿宋_GB2312" w:eastAsia="仿宋_GB2312" w:cs="仿宋_GB2312"/>
                <w:sz w:val="21"/>
                <w:szCs w:val="21"/>
                <w:lang w:eastAsia="zh-CN"/>
              </w:rPr>
              <w:t>陵川县审计局</w:t>
            </w:r>
          </w:p>
        </w:tc>
        <w:tc>
          <w:tcPr>
            <w:tcW w:w="784" w:type="dxa"/>
            <w:vAlign w:val="top"/>
          </w:tcPr>
          <w:p w14:paraId="701D0906">
            <w:pPr>
              <w:pStyle w:val="8"/>
              <w:rPr>
                <w:rFonts w:hint="eastAsia" w:ascii="仿宋_GB2312" w:hAnsi="仿宋_GB2312" w:eastAsia="仿宋_GB2312" w:cs="仿宋_GB2312"/>
                <w:sz w:val="21"/>
                <w:szCs w:val="21"/>
              </w:rPr>
            </w:pPr>
          </w:p>
        </w:tc>
      </w:tr>
      <w:tr w14:paraId="6F2A772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02" w:hRule="atLeast"/>
        </w:trPr>
        <w:tc>
          <w:tcPr>
            <w:tcW w:w="840" w:type="dxa"/>
            <w:vAlign w:val="center"/>
          </w:tcPr>
          <w:p w14:paraId="7EE687D9">
            <w:pPr>
              <w:keepNext w:val="0"/>
              <w:keepLines w:val="0"/>
              <w:pageBreakBefore w:val="0"/>
              <w:widowControl/>
              <w:kinsoku/>
              <w:wordWrap/>
              <w:overflowPunct/>
              <w:topLinePunct w:val="0"/>
              <w:autoSpaceDE/>
              <w:autoSpaceDN w:val="0"/>
              <w:bidi w:val="0"/>
              <w:adjustRightInd w:val="0"/>
              <w:snapToGrid w:val="0"/>
              <w:spacing w:line="240" w:lineRule="exact"/>
              <w:jc w:val="center"/>
              <w:textAlignment w:val="center"/>
              <w:rPr>
                <w:rFonts w:hint="eastAsia" w:ascii="仿宋_GB2312" w:hAnsi="仿宋_GB2312" w:eastAsia="仿宋_GB2312" w:cs="仿宋_GB2312"/>
                <w:b w:val="0"/>
                <w:i w:val="0"/>
                <w:snapToGrid/>
                <w:color w:val="000000" w:themeColor="text1"/>
                <w:kern w:val="0"/>
                <w:sz w:val="21"/>
                <w:szCs w:val="21"/>
                <w:u w:val="none"/>
                <w:lang w:val="en-US" w:eastAsia="zh-CN" w:bidi="ar-SA"/>
                <w14:textFill>
                  <w14:solidFill>
                    <w14:schemeClr w14:val="tx1"/>
                  </w14:solidFill>
                </w14:textFill>
              </w:rPr>
            </w:pPr>
            <w:r>
              <w:rPr>
                <w:rFonts w:hint="eastAsia" w:ascii="仿宋_GB2312" w:hAnsi="仿宋_GB2312" w:eastAsia="仿宋_GB2312" w:cs="仿宋_GB2312"/>
                <w:b w:val="0"/>
                <w:i w:val="0"/>
                <w:snapToGrid/>
                <w:color w:val="000000" w:themeColor="text1"/>
                <w:sz w:val="21"/>
                <w:szCs w:val="21"/>
                <w:u w:val="none"/>
                <w:lang w:val="en-US" w:eastAsia="zh-CN"/>
                <w14:textFill>
                  <w14:solidFill>
                    <w14:schemeClr w14:val="tx1"/>
                  </w14:solidFill>
                </w14:textFill>
              </w:rPr>
              <w:t>9</w:t>
            </w:r>
          </w:p>
        </w:tc>
        <w:tc>
          <w:tcPr>
            <w:tcW w:w="2710" w:type="dxa"/>
            <w:vAlign w:val="center"/>
          </w:tcPr>
          <w:p w14:paraId="49785553">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_GB2312" w:hAnsi="仿宋_GB2312" w:eastAsia="仿宋_GB2312" w:cs="仿宋_GB2312"/>
                <w:b w:val="0"/>
                <w:i w:val="0"/>
                <w:snapToGrid/>
                <w:color w:val="000000" w:themeColor="text1"/>
                <w:kern w:val="0"/>
                <w:sz w:val="21"/>
                <w:szCs w:val="21"/>
                <w:u w:val="none"/>
                <w:lang w:val="en-US" w:eastAsia="zh-CN" w:bidi="ar-SA"/>
                <w14:textFill>
                  <w14:solidFill>
                    <w14:schemeClr w14:val="tx1"/>
                  </w14:solidFill>
                </w14:textFill>
              </w:rPr>
            </w:pPr>
            <w: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t>对被审计单位在金融机构的账户和公款转入的个人账户存款查询的</w:t>
            </w:r>
          </w:p>
        </w:tc>
        <w:tc>
          <w:tcPr>
            <w:tcW w:w="868" w:type="dxa"/>
            <w:vAlign w:val="center"/>
          </w:tcPr>
          <w:p w14:paraId="67BB6189">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_GB2312" w:hAnsi="仿宋_GB2312" w:eastAsia="仿宋_GB2312" w:cs="仿宋_GB2312"/>
                <w:b w:val="0"/>
                <w:i w:val="0"/>
                <w:snapToGrid/>
                <w:color w:val="000000" w:themeColor="text1"/>
                <w:kern w:val="0"/>
                <w:sz w:val="21"/>
                <w:szCs w:val="21"/>
                <w:u w:val="none"/>
                <w:lang w:val="en-US" w:eastAsia="zh-CN" w:bidi="ar-SA"/>
                <w14:textFill>
                  <w14:solidFill>
                    <w14:schemeClr w14:val="tx1"/>
                  </w14:solidFill>
                </w14:textFill>
              </w:rPr>
            </w:pPr>
            <w: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t>其他行政执法事项</w:t>
            </w:r>
          </w:p>
        </w:tc>
        <w:tc>
          <w:tcPr>
            <w:tcW w:w="7811" w:type="dxa"/>
            <w:vAlign w:val="center"/>
          </w:tcPr>
          <w:p w14:paraId="076745C6">
            <w:pPr>
              <w:keepNext w:val="0"/>
              <w:keepLines w:val="0"/>
              <w:pageBreakBefore w:val="0"/>
              <w:widowControl/>
              <w:kinsoku/>
              <w:wordWrap/>
              <w:overflowPunct/>
              <w:topLinePunct w:val="0"/>
              <w:autoSpaceDE/>
              <w:autoSpaceDN w:val="0"/>
              <w:bidi w:val="0"/>
              <w:adjustRightInd w:val="0"/>
              <w:snapToGrid w:val="0"/>
              <w:spacing w:line="240" w:lineRule="exact"/>
              <w:ind w:firstLine="420" w:firstLineChars="200"/>
              <w:jc w:val="left"/>
              <w:textAlignment w:val="cente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t>【法律】《中华人民共和国审计法》(1994年8月31日第八届全国人民代表大会常务委员会第九次会议通过</w:t>
            </w:r>
            <w:r>
              <w:rPr>
                <w:rFonts w:hint="eastAsia" w:ascii="仿宋_GB2312" w:hAnsi="仿宋_GB2312" w:eastAsia="仿宋_GB2312" w:cs="仿宋_GB2312"/>
                <w:b w:val="0"/>
                <w:i w:val="0"/>
                <w:snapToGrid/>
                <w:color w:val="000000" w:themeColor="text1"/>
                <w:sz w:val="21"/>
                <w:szCs w:val="21"/>
                <w:u w:val="none"/>
                <w:lang w:val="en-US" w:eastAsia="zh-CN"/>
                <w14:textFill>
                  <w14:solidFill>
                    <w14:schemeClr w14:val="tx1"/>
                  </w14:solidFill>
                </w14:textFill>
              </w:rPr>
              <w:t xml:space="preserve"> </w:t>
            </w:r>
            <w: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t>根据2006年2月28日第十届全国人民代表大会常务委员会第二十次会议《关于修改〈中华人民共和国审计法》的决定》第一次修正</w:t>
            </w:r>
            <w:r>
              <w:rPr>
                <w:rFonts w:hint="eastAsia" w:ascii="仿宋_GB2312" w:hAnsi="仿宋_GB2312" w:eastAsia="仿宋_GB2312" w:cs="仿宋_GB2312"/>
                <w:b w:val="0"/>
                <w:i w:val="0"/>
                <w:snapToGrid/>
                <w:color w:val="000000" w:themeColor="text1"/>
                <w:sz w:val="21"/>
                <w:szCs w:val="21"/>
                <w:u w:val="none"/>
                <w:lang w:val="en-US" w:eastAsia="zh-CN"/>
                <w14:textFill>
                  <w14:solidFill>
                    <w14:schemeClr w14:val="tx1"/>
                  </w14:solidFill>
                </w14:textFill>
              </w:rPr>
              <w:t xml:space="preserve"> </w:t>
            </w:r>
            <w: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t>根据2021年10月23日第十三届全国人民代表大会常务委员会第三十一次会议《关于修改〈中华人民共和国审计法》的决定》第二次修正)</w:t>
            </w:r>
          </w:p>
          <w:p w14:paraId="0FB74716">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t xml:space="preserve">    第三十七条第二款"审计机关经县级以上人民政府审计机关负责人批准，有权查询被审计单位在金融机构的账户" </w:t>
            </w:r>
          </w:p>
          <w:p w14:paraId="7AD75DFD">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t xml:space="preserve">    第三款"审计机关有证据证明被审计单位违反国家规定将公款转入其他单位、个人金融账户的，经县级以上人民政府审计机关主要负责人批准，有权查询有关单位、以个人在金融机构与审计事项相关的存款。"</w:t>
            </w:r>
          </w:p>
          <w:p w14:paraId="1DC02040">
            <w:pPr>
              <w:keepNext w:val="0"/>
              <w:keepLines w:val="0"/>
              <w:pageBreakBefore w:val="0"/>
              <w:widowControl/>
              <w:kinsoku/>
              <w:wordWrap/>
              <w:overflowPunct/>
              <w:topLinePunct w:val="0"/>
              <w:autoSpaceDE/>
              <w:autoSpaceDN w:val="0"/>
              <w:bidi w:val="0"/>
              <w:adjustRightInd w:val="0"/>
              <w:snapToGrid w:val="0"/>
              <w:spacing w:line="240" w:lineRule="exact"/>
              <w:ind w:firstLine="420" w:firstLineChars="200"/>
              <w:jc w:val="left"/>
              <w:textAlignment w:val="cente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t>【行政法规】《中华人民共和国审计法实施条例》（1997年10月21日中华人民共和国国务院令第231号公布</w:t>
            </w:r>
            <w:r>
              <w:rPr>
                <w:rFonts w:hint="eastAsia" w:ascii="仿宋_GB2312" w:hAnsi="仿宋_GB2312" w:eastAsia="仿宋_GB2312" w:cs="仿宋_GB2312"/>
                <w:b w:val="0"/>
                <w:i w:val="0"/>
                <w:snapToGrid/>
                <w:color w:val="000000" w:themeColor="text1"/>
                <w:sz w:val="21"/>
                <w:szCs w:val="21"/>
                <w:u w:val="none"/>
                <w:lang w:val="en-US" w:eastAsia="zh-CN"/>
                <w14:textFill>
                  <w14:solidFill>
                    <w14:schemeClr w14:val="tx1"/>
                  </w14:solidFill>
                </w14:textFill>
              </w:rPr>
              <w:t xml:space="preserve"> </w:t>
            </w:r>
            <w: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t>2010年2月2日国务院第100次常务会议修订通过</w:t>
            </w:r>
            <w:r>
              <w:rPr>
                <w:rFonts w:hint="eastAsia" w:ascii="仿宋_GB2312" w:hAnsi="仿宋_GB2312" w:eastAsia="仿宋_GB2312" w:cs="仿宋_GB2312"/>
                <w:b w:val="0"/>
                <w:i w:val="0"/>
                <w:snapToGrid/>
                <w:color w:val="000000" w:themeColor="text1"/>
                <w:sz w:val="21"/>
                <w:szCs w:val="21"/>
                <w:u w:val="none"/>
                <w:lang w:val="en-US" w:eastAsia="zh-CN"/>
                <w14:textFill>
                  <w14:solidFill>
                    <w14:schemeClr w14:val="tx1"/>
                  </w14:solidFill>
                </w14:textFill>
              </w:rPr>
              <w:t xml:space="preserve"> </w:t>
            </w:r>
            <w: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t>2010年2月11日中华人民共和国国务院令第571号公布</w:t>
            </w:r>
            <w:r>
              <w:rPr>
                <w:rFonts w:hint="eastAsia" w:ascii="仿宋_GB2312" w:hAnsi="仿宋_GB2312" w:eastAsia="仿宋_GB2312" w:cs="仿宋_GB2312"/>
                <w:b w:val="0"/>
                <w:i w:val="0"/>
                <w:snapToGrid/>
                <w:color w:val="000000" w:themeColor="text1"/>
                <w:sz w:val="21"/>
                <w:szCs w:val="21"/>
                <w:u w:val="none"/>
                <w:lang w:val="en-US" w:eastAsia="zh-CN"/>
                <w14:textFill>
                  <w14:solidFill>
                    <w14:schemeClr w14:val="tx1"/>
                  </w14:solidFill>
                </w14:textFill>
              </w:rPr>
              <w:t xml:space="preserve"> </w:t>
            </w:r>
            <w: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t>自2010年5月1日起施行）</w:t>
            </w:r>
          </w:p>
          <w:p w14:paraId="0110BBD4">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_GB2312" w:hAnsi="仿宋_GB2312" w:eastAsia="仿宋_GB2312" w:cs="仿宋_GB2312"/>
                <w:b w:val="0"/>
                <w:i w:val="0"/>
                <w:snapToGrid/>
                <w:color w:val="000000" w:themeColor="text1"/>
                <w:kern w:val="0"/>
                <w:sz w:val="21"/>
                <w:szCs w:val="21"/>
                <w:u w:val="none"/>
                <w:lang w:val="en-US" w:eastAsia="zh-CN" w:bidi="ar-SA"/>
                <w14:textFill>
                  <w14:solidFill>
                    <w14:schemeClr w14:val="tx1"/>
                  </w14:solidFill>
                </w14:textFill>
              </w:rPr>
            </w:pPr>
            <w:r>
              <w:rPr>
                <w:rFonts w:hint="eastAsia" w:ascii="仿宋_GB2312" w:hAnsi="仿宋_GB2312" w:eastAsia="仿宋_GB2312" w:cs="仿宋_GB2312"/>
                <w:b w:val="0"/>
                <w:i w:val="0"/>
                <w:snapToGrid/>
                <w:color w:val="000000" w:themeColor="text1"/>
                <w:sz w:val="21"/>
                <w:szCs w:val="21"/>
                <w:u w:val="none"/>
                <w:lang w:eastAsia="zh-CN"/>
                <w14:textFill>
                  <w14:solidFill>
                    <w14:schemeClr w14:val="tx1"/>
                  </w14:solidFill>
                </w14:textFill>
              </w:rPr>
              <w:t xml:space="preserve">    第三十条  审计机关依照审计法第三十三条规定查询被审计单位在金融机构的账户的，应当持县级以上人民政府审计机关负责人签发的协助查询单位账户通知书；查询被审计单位以个人名义在金融机构的存款的，应当持县级以上人民政府审计机关主要负责人签发的协助查询个人存款通知书。有关金融机构应当予以协助，并提供证明材料，审计机关和审计人员负有保密义务。</w:t>
            </w:r>
          </w:p>
        </w:tc>
        <w:tc>
          <w:tcPr>
            <w:tcW w:w="696" w:type="dxa"/>
            <w:vAlign w:val="center"/>
          </w:tcPr>
          <w:p w14:paraId="629C7CF4">
            <w:pPr>
              <w:pStyle w:val="8"/>
              <w:keepNext w:val="0"/>
              <w:keepLines w:val="0"/>
              <w:pageBreakBefore w:val="0"/>
              <w:widowControl/>
              <w:wordWrap/>
              <w:overflowPunct/>
              <w:topLinePunct w:val="0"/>
              <w:autoSpaceDN w:val="0"/>
              <w:bidi w:val="0"/>
              <w:adjustRightInd w:val="0"/>
              <w:snapToGrid w:val="0"/>
              <w:spacing w:line="240" w:lineRule="exact"/>
              <w:jc w:val="center"/>
              <w:rPr>
                <w:rFonts w:hint="eastAsia" w:ascii="仿宋_GB2312" w:hAnsi="仿宋_GB2312" w:eastAsia="仿宋_GB2312" w:cs="仿宋_GB2312"/>
                <w:snapToGrid w:val="0"/>
                <w:color w:val="000000"/>
                <w:kern w:val="0"/>
                <w:sz w:val="21"/>
                <w:szCs w:val="21"/>
                <w:lang w:val="en-US" w:eastAsia="zh-CN" w:bidi="ar-SA"/>
              </w:rPr>
            </w:pPr>
            <w:r>
              <w:rPr>
                <w:rFonts w:hint="eastAsia" w:ascii="仿宋_GB2312" w:hAnsi="仿宋_GB2312" w:eastAsia="仿宋_GB2312" w:cs="仿宋_GB2312"/>
                <w:sz w:val="21"/>
                <w:szCs w:val="21"/>
                <w:lang w:eastAsia="zh-CN"/>
              </w:rPr>
              <w:t>陵川县审计局</w:t>
            </w:r>
          </w:p>
        </w:tc>
        <w:tc>
          <w:tcPr>
            <w:tcW w:w="965" w:type="dxa"/>
            <w:vAlign w:val="center"/>
          </w:tcPr>
          <w:p w14:paraId="1A16E727">
            <w:pPr>
              <w:pStyle w:val="8"/>
              <w:keepNext w:val="0"/>
              <w:keepLines w:val="0"/>
              <w:pageBreakBefore w:val="0"/>
              <w:widowControl/>
              <w:wordWrap/>
              <w:overflowPunct/>
              <w:topLinePunct w:val="0"/>
              <w:autoSpaceDN w:val="0"/>
              <w:bidi w:val="0"/>
              <w:adjustRightInd w:val="0"/>
              <w:snapToGrid w:val="0"/>
              <w:spacing w:line="240" w:lineRule="exact"/>
              <w:jc w:val="center"/>
              <w:rPr>
                <w:rFonts w:hint="eastAsia" w:ascii="仿宋_GB2312" w:hAnsi="仿宋_GB2312" w:eastAsia="仿宋_GB2312" w:cs="仿宋_GB2312"/>
                <w:snapToGrid w:val="0"/>
                <w:color w:val="000000"/>
                <w:kern w:val="0"/>
                <w:sz w:val="21"/>
                <w:szCs w:val="21"/>
                <w:lang w:val="en-US" w:eastAsia="zh-CN" w:bidi="ar-SA"/>
              </w:rPr>
            </w:pPr>
            <w:r>
              <w:rPr>
                <w:rFonts w:hint="eastAsia" w:ascii="仿宋_GB2312" w:hAnsi="仿宋_GB2312" w:eastAsia="仿宋_GB2312" w:cs="仿宋_GB2312"/>
                <w:sz w:val="21"/>
                <w:szCs w:val="21"/>
                <w:lang w:eastAsia="zh-CN"/>
              </w:rPr>
              <w:t>陵川县审计局</w:t>
            </w:r>
          </w:p>
        </w:tc>
        <w:tc>
          <w:tcPr>
            <w:tcW w:w="784" w:type="dxa"/>
            <w:vAlign w:val="top"/>
          </w:tcPr>
          <w:p w14:paraId="6FF86A08">
            <w:pPr>
              <w:pStyle w:val="8"/>
              <w:rPr>
                <w:rFonts w:hint="eastAsia" w:ascii="仿宋_GB2312" w:hAnsi="仿宋_GB2312" w:eastAsia="仿宋_GB2312" w:cs="仿宋_GB2312"/>
                <w:sz w:val="21"/>
                <w:szCs w:val="21"/>
              </w:rPr>
            </w:pPr>
          </w:p>
        </w:tc>
      </w:tr>
    </w:tbl>
    <w:p w14:paraId="401C9CD3">
      <w:pPr>
        <w:spacing w:before="67" w:line="219" w:lineRule="auto"/>
        <w:rPr>
          <w:rFonts w:ascii="宋体" w:hAnsi="宋体" w:eastAsia="宋体" w:cs="宋体"/>
          <w:sz w:val="31"/>
          <w:szCs w:val="31"/>
        </w:rPr>
      </w:pPr>
      <w:r>
        <w:rPr>
          <w:rFonts w:ascii="宋体" w:hAnsi="宋体" w:eastAsia="宋体" w:cs="宋体"/>
          <w:spacing w:val="9"/>
          <w:sz w:val="31"/>
          <w:szCs w:val="31"/>
        </w:rPr>
        <w:t>注</w:t>
      </w:r>
      <w:r>
        <w:rPr>
          <w:rFonts w:hint="eastAsia" w:ascii="宋体" w:hAnsi="宋体" w:eastAsia="宋体" w:cs="宋体"/>
          <w:spacing w:val="9"/>
          <w:sz w:val="31"/>
          <w:szCs w:val="31"/>
          <w:lang w:eastAsia="zh-CN"/>
        </w:rPr>
        <w:t>：</w:t>
      </w:r>
      <w:r>
        <w:rPr>
          <w:rFonts w:hint="eastAsia" w:ascii="仿宋" w:hAnsi="仿宋" w:eastAsia="仿宋" w:cs="仿宋"/>
          <w:spacing w:val="9"/>
          <w:sz w:val="30"/>
          <w:szCs w:val="30"/>
        </w:rPr>
        <w:t>1.事项名称填写的格式为“对</w:t>
      </w:r>
      <w:r>
        <w:rPr>
          <w:rFonts w:hint="eastAsia" w:ascii="仿宋" w:hAnsi="仿宋" w:eastAsia="仿宋" w:cs="仿宋"/>
          <w:sz w:val="30"/>
          <w:szCs w:val="30"/>
        </w:rPr>
        <w:t>XXX</w:t>
      </w:r>
      <w:r>
        <w:rPr>
          <w:rFonts w:hint="eastAsia" w:ascii="仿宋" w:hAnsi="仿宋" w:eastAsia="仿宋" w:cs="仿宋"/>
          <w:spacing w:val="9"/>
          <w:sz w:val="30"/>
          <w:szCs w:val="30"/>
        </w:rPr>
        <w:t>的行政处罚(强制......)”</w:t>
      </w:r>
    </w:p>
    <w:p w14:paraId="2C10D8ED">
      <w:pPr>
        <w:pStyle w:val="2"/>
        <w:spacing w:before="25"/>
        <w:ind w:right="52" w:firstLine="660" w:firstLineChars="200"/>
        <w:rPr>
          <w:sz w:val="30"/>
          <w:szCs w:val="30"/>
        </w:rPr>
      </w:pPr>
      <w:r>
        <w:rPr>
          <w:spacing w:val="15"/>
          <w:sz w:val="30"/>
          <w:szCs w:val="30"/>
        </w:rPr>
        <w:t>2.事项类型：</w:t>
      </w:r>
      <w:r>
        <w:rPr>
          <w:spacing w:val="50"/>
          <w:sz w:val="30"/>
          <w:szCs w:val="30"/>
        </w:rPr>
        <w:t xml:space="preserve"> </w:t>
      </w:r>
      <w:r>
        <w:rPr>
          <w:color w:val="auto"/>
          <w:spacing w:val="15"/>
          <w:sz w:val="30"/>
          <w:szCs w:val="30"/>
        </w:rPr>
        <w:t>行</w:t>
      </w:r>
      <w:r>
        <w:rPr>
          <w:spacing w:val="15"/>
          <w:sz w:val="30"/>
          <w:szCs w:val="30"/>
        </w:rPr>
        <w:t>政处罚、行政许可、行政征收征用</w:t>
      </w:r>
      <w:r>
        <w:rPr>
          <w:color w:val="auto"/>
          <w:spacing w:val="15"/>
          <w:sz w:val="30"/>
          <w:szCs w:val="30"/>
        </w:rPr>
        <w:t>、</w:t>
      </w:r>
      <w:r>
        <w:rPr>
          <w:color w:val="auto"/>
          <w:spacing w:val="-87"/>
          <w:sz w:val="30"/>
          <w:szCs w:val="30"/>
        </w:rPr>
        <w:t xml:space="preserve"> </w:t>
      </w:r>
      <w:r>
        <w:rPr>
          <w:spacing w:val="15"/>
          <w:sz w:val="30"/>
          <w:szCs w:val="30"/>
        </w:rPr>
        <w:t>行政确认、行政给付、行政强制、行</w:t>
      </w:r>
      <w:r>
        <w:rPr>
          <w:spacing w:val="14"/>
          <w:sz w:val="30"/>
          <w:szCs w:val="30"/>
        </w:rPr>
        <w:t>政检查及</w:t>
      </w:r>
      <w:r>
        <w:rPr>
          <w:sz w:val="30"/>
          <w:szCs w:val="30"/>
        </w:rPr>
        <w:t xml:space="preserve"> </w:t>
      </w:r>
      <w:r>
        <w:rPr>
          <w:spacing w:val="11"/>
          <w:sz w:val="30"/>
          <w:szCs w:val="30"/>
        </w:rPr>
        <w:t>其他行政执法事项等；</w:t>
      </w:r>
    </w:p>
    <w:p w14:paraId="7C46D0FE">
      <w:pPr>
        <w:pStyle w:val="2"/>
        <w:spacing w:before="31" w:line="189" w:lineRule="auto"/>
        <w:ind w:firstLine="680" w:firstLineChars="200"/>
        <w:rPr>
          <w:rFonts w:hint="eastAsia"/>
          <w:spacing w:val="20"/>
          <w:sz w:val="30"/>
          <w:szCs w:val="30"/>
          <w:lang w:eastAsia="zh-CN"/>
        </w:rPr>
      </w:pPr>
      <w:r>
        <w:rPr>
          <w:spacing w:val="20"/>
          <w:sz w:val="30"/>
          <w:szCs w:val="30"/>
        </w:rPr>
        <w:t>3.责任主体和实施主体均要填写单位规范全称</w:t>
      </w:r>
      <w:r>
        <w:rPr>
          <w:rFonts w:hint="eastAsia"/>
          <w:spacing w:val="20"/>
          <w:sz w:val="30"/>
          <w:szCs w:val="30"/>
          <w:lang w:eastAsia="zh-CN"/>
        </w:rPr>
        <w:t>；</w:t>
      </w:r>
    </w:p>
    <w:p w14:paraId="2B772BB3">
      <w:pPr>
        <w:pStyle w:val="2"/>
        <w:spacing w:before="31" w:line="189" w:lineRule="auto"/>
        <w:ind w:firstLine="680" w:firstLineChars="200"/>
        <w:rPr>
          <w:rFonts w:hint="default"/>
          <w:spacing w:val="20"/>
          <w:sz w:val="30"/>
          <w:szCs w:val="30"/>
          <w:lang w:val="en-US" w:eastAsia="zh-CN"/>
        </w:rPr>
        <w:sectPr>
          <w:type w:val="continuous"/>
          <w:pgSz w:w="16820" w:h="11900"/>
          <w:pgMar w:top="1011" w:right="1205" w:bottom="400" w:left="929" w:header="0" w:footer="0" w:gutter="0"/>
          <w:pgNumType w:fmt="decimal"/>
          <w:cols w:equalWidth="0" w:num="1">
            <w:col w:w="14685"/>
          </w:cols>
        </w:sectPr>
      </w:pPr>
      <w:r>
        <w:rPr>
          <w:rFonts w:hint="eastAsia"/>
          <w:spacing w:val="20"/>
          <w:sz w:val="30"/>
          <w:szCs w:val="30"/>
          <w:lang w:val="en-US" w:eastAsia="zh-CN"/>
        </w:rPr>
        <w:t>4.涉企执法事项需在备注中体现。</w:t>
      </w:r>
    </w:p>
    <w:p w14:paraId="175FED26">
      <w:pPr>
        <w:spacing w:line="142" w:lineRule="exact"/>
      </w:pPr>
    </w:p>
    <w:p w14:paraId="11CEC900">
      <w:pPr>
        <w:spacing w:line="14" w:lineRule="auto"/>
        <w:rPr>
          <w:rFonts w:ascii="Arial"/>
          <w:sz w:val="2"/>
        </w:rPr>
      </w:pPr>
    </w:p>
    <w:sectPr>
      <w:type w:val="continuous"/>
      <w:pgSz w:w="16820" w:h="11900"/>
      <w:pgMar w:top="1011" w:right="1025" w:bottom="400" w:left="994" w:header="0" w:footer="0" w:gutter="0"/>
      <w:pgNumType w:fmt="decimal"/>
      <w:cols w:equalWidth="0" w:num="1">
        <w:col w:w="14800"/>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国标仿宋">
    <w:altName w:val="仿宋"/>
    <w:panose1 w:val="02000500000000000000"/>
    <w:charset w:val="86"/>
    <w:family w:val="auto"/>
    <w:pitch w:val="default"/>
    <w:sig w:usb0="00000000" w:usb1="00000000" w:usb2="00000016" w:usb3="00000000" w:csb0="00060007"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0B1D75">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YzI4YzBiMDBhNDFjMDdmZjUxNDljOGRjMzM2Yzc0NmIifQ=="/>
  </w:docVars>
  <w:rsids>
    <w:rsidRoot w:val="00000000"/>
    <w:rsid w:val="0E9E44B5"/>
    <w:rsid w:val="106D374C"/>
    <w:rsid w:val="1B5337B3"/>
    <w:rsid w:val="1CB3949F"/>
    <w:rsid w:val="31DB6D80"/>
    <w:rsid w:val="327C0F63"/>
    <w:rsid w:val="32F67202"/>
    <w:rsid w:val="3BF7FBA5"/>
    <w:rsid w:val="3FEADA81"/>
    <w:rsid w:val="43351360"/>
    <w:rsid w:val="438F3636"/>
    <w:rsid w:val="46C93056"/>
    <w:rsid w:val="48CA65BD"/>
    <w:rsid w:val="5FF39717"/>
    <w:rsid w:val="DBEF55F1"/>
    <w:rsid w:val="FFFF2BF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仿宋" w:hAnsi="仿宋" w:eastAsia="仿宋" w:cs="仿宋"/>
      <w:sz w:val="34"/>
      <w:szCs w:val="34"/>
      <w:lang w:val="en-US" w:eastAsia="en-US" w:bidi="ar-SA"/>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customStyle="1" w:styleId="7">
    <w:name w:val="Table Normal"/>
    <w:semiHidden/>
    <w:unhideWhenUsed/>
    <w:qFormat/>
    <w:uiPriority w:val="0"/>
    <w:tblPr>
      <w:tblCellMar>
        <w:top w:w="0" w:type="dxa"/>
        <w:left w:w="0" w:type="dxa"/>
        <w:bottom w:w="0" w:type="dxa"/>
        <w:right w:w="0" w:type="dxa"/>
      </w:tblCellMar>
    </w:tblPr>
  </w:style>
  <w:style w:type="paragraph" w:customStyle="1" w:styleId="8">
    <w:name w:val="Table Text"/>
    <w:basedOn w:val="1"/>
    <w:semiHidden/>
    <w:qFormat/>
    <w:uiPriority w:val="0"/>
    <w:rPr>
      <w:rFonts w:ascii="Arial" w:hAnsi="Arial" w:eastAsia="Arial" w:cs="Arial"/>
      <w:sz w:val="21"/>
      <w:szCs w:val="21"/>
      <w:lang w:val="en-US" w:eastAsia="en-US"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8</Pages>
  <Words>7202</Words>
  <Characters>7546</Characters>
  <TotalTime>16</TotalTime>
  <ScaleCrop>false</ScaleCrop>
  <LinksUpToDate>false</LinksUpToDate>
  <CharactersWithSpaces>7803</CharactersWithSpaces>
  <Application>WPS Office_12.1.0.17133_F1E327BC-269C-435d-A152-05C5408002CA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2024-05-23T10:50:00Z</dcterms:created>
  <dc:creator>admin</dc:creator>
  <cp:lastModifiedBy>WPS_1678344314</cp:lastModifiedBy>
  <cp:lastPrinted>2024-05-31T02:06:00Z</cp:lastPrinted>
  <dcterms:modified xsi:type="dcterms:W3CDTF">2024-06-27T02:32:39Z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2024-05-22T10:50:18Z</vt:filetime>
  </property>
  <property fmtid="{D5CDD505-2E9C-101B-9397-08002B2CF9AE}" pid="4" name="UsrData">
    <vt:lpwstr>664d5d64524474001f09469fwl</vt:lpwstr>
  </property>
  <property fmtid="{D5CDD505-2E9C-101B-9397-08002B2CF9AE}" pid="5" name="KSOProductBuildVer">
    <vt:lpwstr>2052-12.1.0.17133</vt:lpwstr>
  </property>
  <property fmtid="{D5CDD505-2E9C-101B-9397-08002B2CF9AE}" pid="6" name="ICV">
    <vt:lpwstr>C2A2E93DFAD2460B82F61F283D616B90_13</vt:lpwstr>
  </property>
</Properties>
</file>