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586" w:lineRule="exact"/>
        <w:ind w:left="0"/>
        <w:textAlignment w:val="baseline"/>
        <w:rPr>
          <w:rFonts w:hint="eastAsia" w:ascii="黑体" w:hAnsi="黑体" w:eastAsia="黑体" w:cs="黑体"/>
          <w:b w:val="0"/>
          <w:bCs w:val="0"/>
          <w:sz w:val="32"/>
          <w:szCs w:val="32"/>
          <w:lang w:eastAsia="zh-CN"/>
        </w:rPr>
      </w:pPr>
      <w:r>
        <w:rPr>
          <w:rFonts w:ascii="黑体" w:hAnsi="黑体" w:eastAsia="黑体" w:cs="黑体"/>
          <w:b w:val="0"/>
          <w:bCs w:val="0"/>
          <w:spacing w:val="14"/>
          <w:sz w:val="32"/>
          <w:szCs w:val="32"/>
        </w:rPr>
        <w:t>附件</w:t>
      </w:r>
      <w:r>
        <w:rPr>
          <w:rFonts w:hint="eastAsia" w:ascii="黑体" w:hAnsi="黑体" w:eastAsia="黑体" w:cs="黑体"/>
          <w:b w:val="0"/>
          <w:bCs w:val="0"/>
          <w:spacing w:val="14"/>
          <w:sz w:val="32"/>
          <w:szCs w:val="32"/>
          <w:lang w:val="en-US" w:eastAsia="zh-CN"/>
        </w:rPr>
        <w:t>2</w:t>
      </w: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5" w:type="default"/>
          <w:pgSz w:w="16820" w:h="11900"/>
          <w:pgMar w:top="1011" w:right="1205" w:bottom="400" w:left="929" w:header="0" w:footer="0" w:gutter="0"/>
          <w:pgNumType w:fmt="decimal"/>
          <w:cols w:equalWidth="0" w:num="1">
            <w:col w:w="14685"/>
          </w:cols>
        </w:sectPr>
      </w:pPr>
    </w:p>
    <w:p>
      <w:pPr>
        <w:spacing w:before="69" w:line="184" w:lineRule="auto"/>
        <w:ind w:left="159"/>
        <w:rPr>
          <w:rFonts w:ascii="宋体" w:hAnsi="宋体" w:eastAsia="宋体" w:cs="宋体"/>
          <w:sz w:val="31"/>
          <w:szCs w:val="31"/>
        </w:rPr>
      </w:pPr>
      <w:r>
        <w:rPr>
          <w:rFonts w:ascii="宋体" w:hAnsi="宋体" w:eastAsia="宋体" w:cs="宋体"/>
          <w:spacing w:val="6"/>
          <w:sz w:val="31"/>
          <w:szCs w:val="31"/>
        </w:rPr>
        <w:t>填报单位(盖章):</w:t>
      </w:r>
    </w:p>
    <w:p>
      <w:pPr>
        <w:spacing w:line="14" w:lineRule="auto"/>
        <w:rPr>
          <w:rFonts w:ascii="Arial"/>
          <w:sz w:val="2"/>
        </w:rPr>
      </w:pPr>
      <w:r>
        <w:rPr>
          <w:rFonts w:ascii="Arial" w:hAnsi="Arial" w:eastAsia="Arial" w:cs="Arial"/>
          <w:sz w:val="2"/>
          <w:szCs w:val="2"/>
        </w:rPr>
        <w:br w:type="column"/>
      </w:r>
    </w:p>
    <w:p>
      <w:pPr>
        <w:spacing w:before="61" w:line="188" w:lineRule="auto"/>
        <w:rPr>
          <w:rFonts w:ascii="宋体" w:hAnsi="宋体" w:eastAsia="宋体" w:cs="宋体"/>
          <w:sz w:val="31"/>
          <w:szCs w:val="31"/>
        </w:rPr>
      </w:pPr>
      <w:r>
        <w:rPr>
          <w:rFonts w:ascii="宋体" w:hAnsi="宋体" w:eastAsia="宋体" w:cs="宋体"/>
          <w:spacing w:val="-1"/>
          <w:sz w:val="31"/>
          <w:szCs w:val="31"/>
        </w:rPr>
        <w:t>联系人和联系方式：</w:t>
      </w:r>
    </w:p>
    <w:p>
      <w:pPr>
        <w:spacing w:line="188" w:lineRule="auto"/>
        <w:rPr>
          <w:rFonts w:ascii="宋体" w:hAnsi="宋体" w:eastAsia="宋体" w:cs="宋体"/>
          <w:sz w:val="31"/>
          <w:szCs w:val="31"/>
        </w:rPr>
        <w:sectPr>
          <w:type w:val="continuous"/>
          <w:pgSz w:w="16820" w:h="11900"/>
          <w:pgMar w:top="1011" w:right="1205" w:bottom="400" w:left="929" w:header="0" w:footer="0" w:gutter="0"/>
          <w:pgNumType w:fmt="decimal"/>
          <w:cols w:equalWidth="0" w:num="2">
            <w:col w:w="9640" w:space="100"/>
            <w:col w:w="4946"/>
          </w:cols>
        </w:sectPr>
      </w:pPr>
    </w:p>
    <w:p>
      <w:pPr>
        <w:spacing w:line="92" w:lineRule="auto"/>
        <w:rPr>
          <w:rFonts w:ascii="Arial"/>
          <w:sz w:val="2"/>
        </w:rPr>
      </w:pPr>
    </w:p>
    <w:tbl>
      <w:tblPr>
        <w:tblStyle w:val="16"/>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057"/>
        <w:gridCol w:w="1833"/>
        <w:gridCol w:w="5921"/>
        <w:gridCol w:w="1296"/>
        <w:gridCol w:w="1554"/>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97" w:hRule="atLeast"/>
        </w:trPr>
        <w:tc>
          <w:tcPr>
            <w:tcW w:w="929" w:type="dxa"/>
            <w:vAlign w:val="top"/>
          </w:tcPr>
          <w:p>
            <w:pPr>
              <w:pStyle w:val="17"/>
              <w:spacing w:line="277" w:lineRule="auto"/>
            </w:pPr>
          </w:p>
          <w:p>
            <w:pPr>
              <w:spacing w:before="101" w:line="221" w:lineRule="auto"/>
              <w:ind w:left="174"/>
              <w:rPr>
                <w:rFonts w:ascii="宋体" w:hAnsi="宋体" w:eastAsia="宋体" w:cs="宋体"/>
                <w:sz w:val="31"/>
                <w:szCs w:val="31"/>
              </w:rPr>
            </w:pPr>
            <w:r>
              <w:rPr>
                <w:rFonts w:ascii="宋体" w:hAnsi="宋体" w:eastAsia="宋体" w:cs="宋体"/>
                <w:b/>
                <w:bCs/>
                <w:spacing w:val="1"/>
                <w:sz w:val="31"/>
                <w:szCs w:val="31"/>
              </w:rPr>
              <w:t>序号</w:t>
            </w:r>
          </w:p>
        </w:tc>
        <w:tc>
          <w:tcPr>
            <w:tcW w:w="2057" w:type="dxa"/>
            <w:vAlign w:val="top"/>
          </w:tcPr>
          <w:p>
            <w:pPr>
              <w:pStyle w:val="17"/>
              <w:spacing w:line="276" w:lineRule="auto"/>
            </w:pPr>
          </w:p>
          <w:p>
            <w:pPr>
              <w:spacing w:before="101" w:line="220" w:lineRule="auto"/>
              <w:jc w:val="center"/>
              <w:rPr>
                <w:rFonts w:ascii="宋体" w:hAnsi="宋体" w:eastAsia="宋体" w:cs="宋体"/>
                <w:sz w:val="31"/>
                <w:szCs w:val="31"/>
              </w:rPr>
            </w:pPr>
            <w:r>
              <w:rPr>
                <w:rFonts w:ascii="宋体" w:hAnsi="宋体" w:eastAsia="宋体" w:cs="宋体"/>
                <w:b/>
                <w:bCs/>
                <w:spacing w:val="-6"/>
                <w:sz w:val="31"/>
                <w:szCs w:val="31"/>
              </w:rPr>
              <w:t>事项名称</w:t>
            </w:r>
          </w:p>
        </w:tc>
        <w:tc>
          <w:tcPr>
            <w:tcW w:w="1833" w:type="dxa"/>
            <w:vAlign w:val="top"/>
          </w:tcPr>
          <w:p>
            <w:pPr>
              <w:pStyle w:val="17"/>
              <w:spacing w:line="276" w:lineRule="auto"/>
            </w:pPr>
          </w:p>
          <w:p>
            <w:pPr>
              <w:spacing w:before="100" w:line="219" w:lineRule="auto"/>
              <w:jc w:val="center"/>
              <w:rPr>
                <w:rFonts w:ascii="宋体" w:hAnsi="宋体" w:eastAsia="宋体" w:cs="宋体"/>
                <w:sz w:val="31"/>
                <w:szCs w:val="31"/>
              </w:rPr>
            </w:pPr>
            <w:r>
              <w:rPr>
                <w:rFonts w:ascii="宋体" w:hAnsi="宋体" w:eastAsia="宋体" w:cs="宋体"/>
                <w:b/>
                <w:bCs/>
                <w:spacing w:val="-1"/>
                <w:sz w:val="31"/>
                <w:szCs w:val="31"/>
              </w:rPr>
              <w:t>事项类型</w:t>
            </w:r>
          </w:p>
        </w:tc>
        <w:tc>
          <w:tcPr>
            <w:tcW w:w="5921" w:type="dxa"/>
            <w:vAlign w:val="top"/>
          </w:tcPr>
          <w:p>
            <w:pPr>
              <w:pStyle w:val="17"/>
              <w:spacing w:line="273" w:lineRule="auto"/>
              <w:jc w:val="left"/>
            </w:pPr>
          </w:p>
          <w:p>
            <w:pPr>
              <w:spacing w:before="101" w:line="219" w:lineRule="auto"/>
              <w:jc w:val="center"/>
              <w:rPr>
                <w:rFonts w:ascii="宋体" w:hAnsi="宋体" w:eastAsia="宋体" w:cs="宋体"/>
                <w:sz w:val="31"/>
                <w:szCs w:val="31"/>
              </w:rPr>
            </w:pPr>
            <w:r>
              <w:rPr>
                <w:rFonts w:ascii="宋体" w:hAnsi="宋体" w:eastAsia="宋体" w:cs="宋体"/>
                <w:b/>
                <w:bCs/>
                <w:spacing w:val="-1"/>
                <w:sz w:val="31"/>
                <w:szCs w:val="31"/>
              </w:rPr>
              <w:t>事项依据</w:t>
            </w:r>
          </w:p>
        </w:tc>
        <w:tc>
          <w:tcPr>
            <w:tcW w:w="1296" w:type="dxa"/>
            <w:vAlign w:val="top"/>
          </w:tcPr>
          <w:p>
            <w:pPr>
              <w:pStyle w:val="17"/>
              <w:spacing w:line="276" w:lineRule="auto"/>
            </w:pPr>
          </w:p>
          <w:p>
            <w:pPr>
              <w:spacing w:before="100" w:line="219" w:lineRule="auto"/>
              <w:jc w:val="center"/>
              <w:rPr>
                <w:rFonts w:ascii="宋体" w:hAnsi="宋体" w:eastAsia="宋体" w:cs="宋体"/>
                <w:sz w:val="31"/>
                <w:szCs w:val="31"/>
              </w:rPr>
            </w:pPr>
            <w:r>
              <w:rPr>
                <w:rFonts w:ascii="宋体" w:hAnsi="宋体" w:eastAsia="宋体" w:cs="宋体"/>
                <w:b/>
                <w:bCs/>
                <w:spacing w:val="-3"/>
                <w:sz w:val="31"/>
                <w:szCs w:val="31"/>
              </w:rPr>
              <w:t>责任主体</w:t>
            </w:r>
          </w:p>
        </w:tc>
        <w:tc>
          <w:tcPr>
            <w:tcW w:w="1554" w:type="dxa"/>
            <w:vAlign w:val="top"/>
          </w:tcPr>
          <w:p>
            <w:pPr>
              <w:pStyle w:val="17"/>
              <w:spacing w:line="276" w:lineRule="auto"/>
            </w:pPr>
          </w:p>
          <w:p>
            <w:pPr>
              <w:spacing w:before="101" w:line="220" w:lineRule="auto"/>
              <w:jc w:val="center"/>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17"/>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5" w:hRule="atLeast"/>
        </w:trPr>
        <w:tc>
          <w:tcPr>
            <w:tcW w:w="929" w:type="dxa"/>
            <w:vAlign w:val="center"/>
          </w:tcPr>
          <w:p>
            <w:pPr>
              <w:ind w:firstLine="420" w:firstLineChars="200"/>
              <w:jc w:val="center"/>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1</w:t>
            </w:r>
          </w:p>
        </w:tc>
        <w:tc>
          <w:tcPr>
            <w:tcW w:w="2057" w:type="dxa"/>
            <w:vAlign w:val="center"/>
          </w:tcPr>
          <w:p>
            <w:pPr>
              <w:ind w:firstLine="420" w:firstLineChars="200"/>
              <w:jc w:val="center"/>
              <w:rPr>
                <w:rFonts w:hint="eastAsia" w:ascii="仿宋_GB2312" w:hAnsi="仿宋_GB2312" w:eastAsia="仿宋_GB2312" w:cs="仿宋_GB2312"/>
                <w:bCs/>
                <w:sz w:val="21"/>
                <w:szCs w:val="21"/>
                <w:lang w:eastAsia="zh-CN"/>
              </w:rPr>
            </w:pPr>
            <w:r>
              <w:rPr>
                <w:rFonts w:hint="eastAsia" w:ascii="仿宋_GB2312" w:hAnsi="仿宋_GB2312" w:eastAsia="仿宋_GB2312" w:cs="仿宋_GB2312"/>
                <w:bCs/>
                <w:sz w:val="21"/>
                <w:szCs w:val="21"/>
                <w:lang w:val="en-US" w:eastAsia="zh-CN"/>
              </w:rPr>
              <w:t>对地名命名、更名、登记审批的行政许可</w:t>
            </w:r>
          </w:p>
        </w:tc>
        <w:tc>
          <w:tcPr>
            <w:tcW w:w="1833" w:type="dxa"/>
            <w:vAlign w:val="center"/>
          </w:tcPr>
          <w:p>
            <w:pPr>
              <w:ind w:firstLine="420" w:firstLineChars="200"/>
              <w:jc w:val="center"/>
              <w:rPr>
                <w:rFonts w:hint="eastAsia" w:ascii="仿宋_GB2312" w:hAnsi="仿宋_GB2312" w:eastAsia="仿宋_GB2312" w:cs="仿宋_GB2312"/>
                <w:bCs/>
                <w:sz w:val="21"/>
                <w:szCs w:val="21"/>
                <w:lang w:eastAsia="zh-CN"/>
              </w:rPr>
            </w:pPr>
            <w:r>
              <w:rPr>
                <w:rFonts w:hint="eastAsia" w:ascii="仿宋_GB2312" w:hAnsi="仿宋_GB2312" w:eastAsia="仿宋_GB2312" w:cs="仿宋_GB2312"/>
                <w:bCs/>
                <w:sz w:val="21"/>
                <w:szCs w:val="21"/>
                <w:lang w:val="en-US" w:eastAsia="zh-CN"/>
              </w:rPr>
              <w:t>行政许可</w:t>
            </w:r>
          </w:p>
        </w:tc>
        <w:tc>
          <w:tcPr>
            <w:tcW w:w="5921" w:type="dxa"/>
            <w:vAlign w:val="center"/>
          </w:tcPr>
          <w:p>
            <w:pPr>
              <w:ind w:firstLine="420" w:firstLineChars="200"/>
              <w:jc w:val="both"/>
              <w:rPr>
                <w:rFonts w:hint="eastAsia" w:ascii="仿宋_GB2312" w:hAnsi="仿宋_GB2312" w:eastAsia="仿宋_GB2312" w:cs="仿宋_GB2312"/>
                <w:bCs/>
                <w:sz w:val="21"/>
                <w:szCs w:val="21"/>
                <w:lang w:val="en-US" w:eastAsia="zh-CN"/>
              </w:rPr>
            </w:pPr>
          </w:p>
          <w:p>
            <w:pPr>
              <w:ind w:firstLine="420" w:firstLineChars="200"/>
              <w:jc w:val="both"/>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【行政法规】《地名管理条例》（中华人民共和国国务院令第753号已经2021年9月1日国务院第147次常务会议修订通过，现予公布，自2022年5月1日起施行。）</w:t>
            </w:r>
            <w:r>
              <w:rPr>
                <w:rFonts w:hint="eastAsia" w:ascii="仿宋_GB2312" w:hAnsi="仿宋_GB2312" w:eastAsia="仿宋_GB2312" w:cs="仿宋_GB2312"/>
                <w:bCs/>
                <w:sz w:val="21"/>
                <w:szCs w:val="21"/>
                <w:lang w:val="en-US" w:eastAsia="zh-CN"/>
              </w:rPr>
              <w:br w:type="textWrapping"/>
            </w:r>
            <w:r>
              <w:rPr>
                <w:rFonts w:hint="eastAsia" w:ascii="仿宋_GB2312" w:hAnsi="仿宋_GB2312" w:eastAsia="仿宋_GB2312" w:cs="仿宋_GB2312"/>
                <w:bCs/>
                <w:sz w:val="21"/>
                <w:szCs w:val="21"/>
                <w:lang w:val="en-US" w:eastAsia="zh-CN"/>
              </w:rPr>
              <w:t xml:space="preserve">    第九条  地名由专名和通名两部分组成。地名的命名应当遵循下列规定：</w:t>
            </w:r>
          </w:p>
          <w:p>
            <w:pPr>
              <w:ind w:firstLine="420" w:firstLineChars="200"/>
              <w:jc w:val="both"/>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一）含义明确、健康，不违背公序良俗；（二）符合地理实体的实际地域、规模、性质等特征；（三）使用国家通用语言文字，避免使用生僻字；（四）一般不以人名作地名，不以国家领导人的名字作地名；（五）不以外国人名、地名作地名；（六）不以企业名称或者商标名称作地名；（七）国内著名的自然地理实体名称，全国范围内的县级以上行政区划名称，不应重名，并避免同音；（八）同一个省级行政区域内的乡、镇名称，同一个县级行政区域内的村民委员会、居民委员会所在地名称，同一个建成区内的街路巷名称，同一个建成区内的具有重要地理方位意义的住宅区、楼宇名称，不应重名，并避免同音；（九）不以国内著名的自然地理实体、历史文化遗产遗址、超出本行政区域范围的地理实体名称作行政区划专名；（十）具有重要地理方位意义的交通运输、水利、电力、通信、气象等设施名称，一般应当与所在地地名统一。</w:t>
            </w:r>
          </w:p>
          <w:p>
            <w:pPr>
              <w:ind w:firstLine="420" w:firstLineChars="200"/>
              <w:jc w:val="both"/>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第十条   地名依法命名后，因行政区划变更、城乡建设、自然变化等原因导致地名名实不符的，应当及时更名。地名更名应当符合本条例第九条的规定。具有重要历史文化价值、体现中华历史文脉的地名，一般不得更名。</w:t>
            </w:r>
          </w:p>
          <w:p>
            <w:pPr>
              <w:ind w:firstLine="420" w:firstLineChars="200"/>
              <w:jc w:val="both"/>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第十二条   批准地名命名、更名应当遵循下列规定：</w:t>
            </w:r>
          </w:p>
          <w:p>
            <w:pPr>
              <w:ind w:firstLine="420" w:firstLineChars="200"/>
              <w:jc w:val="both"/>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一）具有重要历史文化价值、体现中华历史文脉以及有重大社会影响的国内著名自然地理实体或者涉及两个省、自治区、直辖市以上的自然地理实体的命名、更名，边境地区涉及国界线走向和海上涉及岛屿、岛礁归属界线以及载入边界条约和议定书中的自然地理实体和村民委员会、居民委员会所在地等居民点的命名、更名，由相关省、自治区、直辖市人民政府提出申请，报国务院批准；无居民海岛、海域、海底地理实体的命名、更名，由国务院自然资源主管部门会同有关部门批准；其他自然地理实体的命名、更名，按照省、自治区、直辖市人民政府的规定批准；（二）行政区划的命名、更名，按照《行政区划管理条例》的规定批准；（三）本条第一项规定以外的村民委员会、居民委员会所在地的命名、更名，按照省、自治区、直辖市人民政府的规定批准；（四）城市公园、自然保护地的命名、更名，按照国家有关规定批准；（五）街路巷的命名、更名，由直辖市、市、县人民政府批准；（六）具有重要地理方位意义的住宅区、楼宇的命名、更名，由直辖市、市、县人民政府住房和城乡建设主管部门征求同级人民政府地名行政主管部门的意见后批准；（七）具有重要地理方位意义的交通运输、水利、电力、通信、气象等设施的命名、更名，应当根据情况征求所在地相关县级以上地方人民政府的意见，由有关主管部门批准。</w:t>
            </w:r>
          </w:p>
          <w:p>
            <w:pPr>
              <w:ind w:firstLine="420" w:firstLineChars="200"/>
              <w:jc w:val="both"/>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第十三条  地名命名、更名后，由批准机关自批准之日起15日内按照下列规定报送备案：</w:t>
            </w:r>
          </w:p>
          <w:p>
            <w:pPr>
              <w:ind w:firstLine="420" w:firstLineChars="200"/>
              <w:jc w:val="both"/>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一）国务院有关部门批准的地名报送国务院备案，备案材料径送国务院地名行政主管部门；（二）县级以上地方人民政府批准的地名报送上一级人民政府备案，备案材料径送上一级人民政府地名行政主管部门；（三）县级以上地方人民政府地名行政主管部门批准的地名报送上一级人民政府地名行政主管部门备案；（四）其他有关部门批准的地名报送同级人民政府地名行政主管部门备案。</w:t>
            </w:r>
          </w:p>
          <w:p>
            <w:pPr>
              <w:ind w:firstLine="420" w:firstLineChars="200"/>
              <w:jc w:val="both"/>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第十四条  按照本条例规定，县级以上人民政府或者由县级以上地方人民政府地名行政主管部门批准的地名，自批准之日起15日内，由同级人民政府地名行政主管部门向社会公告；县级以上人民政府其他有关部门批准的地名，自按规定报送备案之日起15日内，由同级人民政府地名行政主管部门向社会公告。</w:t>
            </w:r>
          </w:p>
          <w:p>
            <w:pPr>
              <w:ind w:firstLine="420" w:firstLineChars="200"/>
              <w:jc w:val="both"/>
              <w:rPr>
                <w:rFonts w:hint="eastAsia" w:ascii="仿宋_GB2312" w:hAnsi="仿宋_GB2312" w:eastAsia="仿宋_GB2312" w:cs="仿宋_GB2312"/>
                <w:bCs/>
                <w:sz w:val="21"/>
                <w:szCs w:val="21"/>
                <w:lang w:eastAsia="zh-CN"/>
              </w:rPr>
            </w:pPr>
          </w:p>
          <w:p>
            <w:pPr>
              <w:ind w:firstLine="420" w:firstLineChars="200"/>
              <w:jc w:val="both"/>
              <w:rPr>
                <w:rFonts w:hint="eastAsia" w:ascii="仿宋_GB2312" w:hAnsi="仿宋_GB2312" w:eastAsia="仿宋_GB2312" w:cs="仿宋_GB2312"/>
                <w:bCs/>
                <w:sz w:val="21"/>
                <w:szCs w:val="21"/>
                <w:lang w:eastAsia="zh-CN"/>
              </w:rPr>
            </w:pPr>
          </w:p>
          <w:p>
            <w:pPr>
              <w:ind w:firstLine="420" w:firstLineChars="200"/>
              <w:jc w:val="both"/>
              <w:rPr>
                <w:rFonts w:hint="eastAsia" w:ascii="仿宋_GB2312" w:hAnsi="仿宋_GB2312" w:eastAsia="仿宋_GB2312" w:cs="仿宋_GB2312"/>
                <w:bCs/>
                <w:sz w:val="21"/>
                <w:szCs w:val="21"/>
                <w:lang w:eastAsia="zh-CN"/>
              </w:rPr>
            </w:pPr>
          </w:p>
        </w:tc>
        <w:tc>
          <w:tcPr>
            <w:tcW w:w="1296" w:type="dxa"/>
            <w:vAlign w:val="center"/>
          </w:tcPr>
          <w:p>
            <w:pPr>
              <w:jc w:val="center"/>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陵川县民政局</w:t>
            </w:r>
          </w:p>
        </w:tc>
        <w:tc>
          <w:tcPr>
            <w:tcW w:w="1554" w:type="dxa"/>
            <w:vAlign w:val="center"/>
          </w:tcPr>
          <w:p>
            <w:pPr>
              <w:jc w:val="center"/>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行政管理股</w:t>
            </w:r>
          </w:p>
        </w:tc>
        <w:tc>
          <w:tcPr>
            <w:tcW w:w="1084" w:type="dxa"/>
            <w:vAlign w:val="center"/>
          </w:tcPr>
          <w:p>
            <w:pPr>
              <w:pStyle w:val="17"/>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79" w:hRule="atLeast"/>
        </w:trPr>
        <w:tc>
          <w:tcPr>
            <w:tcW w:w="929" w:type="dxa"/>
            <w:vAlign w:val="center"/>
          </w:tcPr>
          <w:p>
            <w:pPr>
              <w:pStyle w:val="17"/>
              <w:ind w:firstLine="420" w:firstLineChars="200"/>
              <w:jc w:val="center"/>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2</w:t>
            </w:r>
          </w:p>
        </w:tc>
        <w:tc>
          <w:tcPr>
            <w:tcW w:w="2057" w:type="dxa"/>
            <w:vAlign w:val="center"/>
          </w:tcPr>
          <w:p>
            <w:pPr>
              <w:pStyle w:val="17"/>
              <w:ind w:firstLine="420" w:firstLineChars="20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lang w:val="en-US" w:eastAsia="zh-CN"/>
              </w:rPr>
              <w:t>对社会团体违规行为的行政处罚</w:t>
            </w:r>
          </w:p>
        </w:tc>
        <w:tc>
          <w:tcPr>
            <w:tcW w:w="1833" w:type="dxa"/>
            <w:vAlign w:val="center"/>
          </w:tcPr>
          <w:p>
            <w:pPr>
              <w:pStyle w:val="17"/>
              <w:ind w:firstLine="420" w:firstLineChars="20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lang w:val="en-US" w:eastAsia="zh-CN"/>
              </w:rPr>
              <w:t>行政处罚</w:t>
            </w:r>
          </w:p>
        </w:tc>
        <w:tc>
          <w:tcPr>
            <w:tcW w:w="5921" w:type="dxa"/>
            <w:vAlign w:val="center"/>
          </w:tcPr>
          <w:p>
            <w:pPr>
              <w:pStyle w:val="17"/>
              <w:ind w:firstLine="420"/>
              <w:jc w:val="both"/>
              <w:rPr>
                <w:rFonts w:hint="eastAsia" w:ascii="仿宋_GB2312" w:hAnsi="仿宋_GB2312" w:eastAsia="仿宋_GB2312" w:cs="仿宋_GB2312"/>
                <w:bCs/>
                <w:sz w:val="21"/>
                <w:szCs w:val="21"/>
                <w:lang w:val="en-US" w:eastAsia="zh-CN"/>
              </w:rPr>
            </w:pPr>
          </w:p>
          <w:p>
            <w:pPr>
              <w:pStyle w:val="17"/>
              <w:ind w:firstLine="420"/>
              <w:jc w:val="both"/>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 xml:space="preserve">【行政法规】《社会团体登记管理条例》（1998年10月25日国务院令第250号发布，2022年根据2016年02月06日国务院令第666号《国务院关于修改部分行政法规的决定》修订。）      </w:t>
            </w:r>
          </w:p>
          <w:p>
            <w:pPr>
              <w:pStyle w:val="17"/>
              <w:ind w:firstLine="420"/>
              <w:jc w:val="both"/>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第三十条　社会团体有下列情形之一的，由登记管理机关给予警告，责令改正，可以限期停止活动，并可以责令撤换直接负责的主管人员;情节严重的，予以撤销登记;构成犯罪的，依法追究刑事责任：</w:t>
            </w:r>
          </w:p>
          <w:p>
            <w:pPr>
              <w:pStyle w:val="17"/>
              <w:ind w:firstLine="420"/>
              <w:jc w:val="both"/>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一)涂改、出租、出借《社会团体法人登记证书》，或者出租、出借社会团体印章的;(二)超出章程规定的宗旨和业务范围进行活动的;(三)拒不接受或者不按照规定接受监督检查的;(四)不按照规定办理变更登记的;(五)违反规定设立分支机构、代表机构，或者对分支机构、代表机构疏于管理，造成严重后果的;(六)从事营利性的经营活动的;(七)侵占、私分、挪用社会团体资产或者所接受的捐赠、资助的;(八)违反国家有关规定收取费用、筹集资金或者接受、使用捐赠、资助的。</w:t>
            </w:r>
          </w:p>
          <w:p>
            <w:pPr>
              <w:pStyle w:val="17"/>
              <w:ind w:firstLine="420"/>
              <w:jc w:val="both"/>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前款规定的行为有违法经营额或者违法所得的，予以没收，可以并处违法经营额1倍以上3倍以下或者违法所得3倍以上5倍以下的罚款。</w:t>
            </w:r>
          </w:p>
          <w:p>
            <w:pPr>
              <w:pStyle w:val="17"/>
              <w:ind w:firstLine="420"/>
              <w:jc w:val="both"/>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第三十二条　筹备期间开展筹备以外的活动，或者未经登记，擅自以社会团体名义进行活动，以及被撤销登记的社会团体继续以社会团体名义进行活动的，由登记管理机关予以取缔，没收非法财产;构成犯罪的，依法追究刑事责任;尚不构成犯罪的，依法给予治安管理处罚。</w:t>
            </w:r>
          </w:p>
          <w:p>
            <w:pPr>
              <w:pStyle w:val="17"/>
              <w:ind w:firstLine="420"/>
              <w:jc w:val="both"/>
              <w:rPr>
                <w:rFonts w:hint="eastAsia" w:ascii="仿宋_GB2312" w:hAnsi="仿宋_GB2312" w:eastAsia="仿宋_GB2312" w:cs="仿宋_GB2312"/>
                <w:bCs/>
                <w:sz w:val="21"/>
                <w:szCs w:val="21"/>
              </w:rPr>
            </w:pPr>
          </w:p>
          <w:p>
            <w:pPr>
              <w:pStyle w:val="17"/>
              <w:jc w:val="both"/>
              <w:rPr>
                <w:rFonts w:hint="eastAsia" w:ascii="仿宋_GB2312" w:hAnsi="仿宋_GB2312" w:eastAsia="仿宋_GB2312" w:cs="仿宋_GB2312"/>
                <w:bCs/>
                <w:sz w:val="21"/>
                <w:szCs w:val="21"/>
              </w:rPr>
            </w:pPr>
          </w:p>
        </w:tc>
        <w:tc>
          <w:tcPr>
            <w:tcW w:w="1296" w:type="dxa"/>
            <w:vAlign w:val="center"/>
          </w:tcPr>
          <w:p>
            <w:pPr>
              <w:pStyle w:val="17"/>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lang w:val="en-US" w:eastAsia="zh-CN"/>
              </w:rPr>
              <w:t>陵川县民政局</w:t>
            </w:r>
          </w:p>
        </w:tc>
        <w:tc>
          <w:tcPr>
            <w:tcW w:w="1554" w:type="dxa"/>
            <w:vAlign w:val="center"/>
          </w:tcPr>
          <w:p>
            <w:pPr>
              <w:pStyle w:val="17"/>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lang w:val="en-US" w:eastAsia="zh-CN"/>
              </w:rPr>
              <w:t>行政管理股</w:t>
            </w:r>
          </w:p>
        </w:tc>
        <w:tc>
          <w:tcPr>
            <w:tcW w:w="1084" w:type="dxa"/>
            <w:vAlign w:val="center"/>
          </w:tcPr>
          <w:p>
            <w:pPr>
              <w:pStyle w:val="17"/>
              <w:ind w:firstLine="420" w:firstLineChars="200"/>
              <w:jc w:val="both"/>
              <w:rPr>
                <w:rFonts w:hint="eastAsia" w:ascii="仿宋_GB2312" w:hAnsi="仿宋_GB2312" w:eastAsia="仿宋_GB2312" w:cs="仿宋_GB2312"/>
                <w:bCs/>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86" w:hRule="atLeast"/>
        </w:trPr>
        <w:tc>
          <w:tcPr>
            <w:tcW w:w="929" w:type="dxa"/>
            <w:vAlign w:val="center"/>
          </w:tcPr>
          <w:p>
            <w:pPr>
              <w:pStyle w:val="17"/>
              <w:ind w:firstLine="420"/>
              <w:jc w:val="center"/>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3</w:t>
            </w:r>
          </w:p>
        </w:tc>
        <w:tc>
          <w:tcPr>
            <w:tcW w:w="2057" w:type="dxa"/>
            <w:vAlign w:val="center"/>
          </w:tcPr>
          <w:p>
            <w:pPr>
              <w:pStyle w:val="17"/>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lang w:val="en-US" w:eastAsia="zh-CN"/>
              </w:rPr>
              <w:t>对民办非企业单位违规行为的行政处罚</w:t>
            </w:r>
          </w:p>
        </w:tc>
        <w:tc>
          <w:tcPr>
            <w:tcW w:w="1833" w:type="dxa"/>
            <w:vAlign w:val="center"/>
          </w:tcPr>
          <w:p>
            <w:pPr>
              <w:pStyle w:val="17"/>
              <w:ind w:firstLine="420"/>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lang w:val="en-US" w:eastAsia="zh-CN"/>
              </w:rPr>
              <w:t>行政处罚</w:t>
            </w:r>
          </w:p>
        </w:tc>
        <w:tc>
          <w:tcPr>
            <w:tcW w:w="5921" w:type="dxa"/>
            <w:vAlign w:val="center"/>
          </w:tcPr>
          <w:p>
            <w:pPr>
              <w:pStyle w:val="17"/>
              <w:ind w:firstLine="420"/>
              <w:jc w:val="both"/>
              <w:rPr>
                <w:rFonts w:hint="eastAsia" w:ascii="仿宋_GB2312" w:hAnsi="仿宋_GB2312" w:eastAsia="仿宋_GB2312" w:cs="仿宋_GB2312"/>
                <w:bCs/>
                <w:sz w:val="21"/>
                <w:szCs w:val="21"/>
                <w:lang w:val="en-US" w:eastAsia="zh-CN"/>
              </w:rPr>
            </w:pPr>
          </w:p>
          <w:p>
            <w:pPr>
              <w:pStyle w:val="17"/>
              <w:ind w:firstLine="420"/>
              <w:jc w:val="both"/>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【行政法规】《民办非企业单位登记管理暂行条例》（1998年9月25日国务院第8次常务会议通过,1998年10月25日国务院令第251号发布,自发布之日起施行。）</w:t>
            </w:r>
            <w:r>
              <w:rPr>
                <w:rFonts w:hint="eastAsia" w:ascii="仿宋_GB2312" w:hAnsi="仿宋_GB2312" w:eastAsia="仿宋_GB2312" w:cs="仿宋_GB2312"/>
                <w:bCs/>
                <w:sz w:val="21"/>
                <w:szCs w:val="21"/>
                <w:lang w:val="en-US" w:eastAsia="zh-CN"/>
              </w:rPr>
              <w:br w:type="textWrapping"/>
            </w:r>
            <w:r>
              <w:rPr>
                <w:rFonts w:hint="eastAsia" w:ascii="仿宋_GB2312" w:hAnsi="仿宋_GB2312" w:eastAsia="仿宋_GB2312" w:cs="仿宋_GB2312"/>
                <w:bCs/>
                <w:sz w:val="21"/>
                <w:szCs w:val="21"/>
                <w:lang w:val="en-US" w:eastAsia="zh-CN"/>
              </w:rPr>
              <w:t xml:space="preserve">    第二十四条　民办非企业单位在申请登记时弄虚作假,骗取登记的,或者业务主管单位撤销批准的,由登记管理机关予以撤销登记。</w:t>
            </w:r>
            <w:r>
              <w:rPr>
                <w:rFonts w:hint="eastAsia" w:ascii="仿宋_GB2312" w:hAnsi="仿宋_GB2312" w:eastAsia="仿宋_GB2312" w:cs="仿宋_GB2312"/>
                <w:bCs/>
                <w:sz w:val="21"/>
                <w:szCs w:val="21"/>
                <w:lang w:val="en-US" w:eastAsia="zh-CN"/>
              </w:rPr>
              <w:br w:type="textWrapping"/>
            </w:r>
            <w:r>
              <w:rPr>
                <w:rFonts w:hint="eastAsia" w:ascii="仿宋_GB2312" w:hAnsi="仿宋_GB2312" w:eastAsia="仿宋_GB2312" w:cs="仿宋_GB2312"/>
                <w:bCs/>
                <w:sz w:val="21"/>
                <w:szCs w:val="21"/>
                <w:lang w:val="en-US" w:eastAsia="zh-CN"/>
              </w:rPr>
              <w:t xml:space="preserve">    第二十五条　民办非企业单位有下列情形之一的,由登记管理机关予以警告,责令改正,可以限期停止活动；情节严重的,予以撤销登记；构成犯罪的,依法追究刑事责任：</w:t>
            </w:r>
            <w:r>
              <w:rPr>
                <w:rFonts w:hint="eastAsia" w:ascii="仿宋_GB2312" w:hAnsi="仿宋_GB2312" w:eastAsia="仿宋_GB2312" w:cs="仿宋_GB2312"/>
                <w:bCs/>
                <w:sz w:val="21"/>
                <w:szCs w:val="21"/>
                <w:lang w:val="en-US" w:eastAsia="zh-CN"/>
              </w:rPr>
              <w:br w:type="textWrapping"/>
            </w:r>
            <w:r>
              <w:rPr>
                <w:rFonts w:hint="eastAsia" w:ascii="仿宋_GB2312" w:hAnsi="仿宋_GB2312" w:eastAsia="仿宋_GB2312" w:cs="仿宋_GB2312"/>
                <w:bCs/>
                <w:sz w:val="21"/>
                <w:szCs w:val="21"/>
                <w:lang w:val="en-US" w:eastAsia="zh-CN"/>
              </w:rPr>
              <w:t xml:space="preserve">    （一）涂改、出租、出借民办非企业单位登记证书,或者出租、出借民办非企业单位印章的；（二）超出其章程规定的宗旨和业务范围进行活动的；（三）拒不接受或者不按照规定接受监督检查的；（四）不按照规定办理变更登记的；（五）设立分支机构的；（六）从事营利性的经营活动的；（七）侵占、私分、挪用民办非企业单位的资产或者所接受的捐赠、资助的；（八）违反国家有关规定收取费用、筹集资金或者接受使用捐赠、资助的。</w:t>
            </w:r>
            <w:r>
              <w:rPr>
                <w:rFonts w:hint="eastAsia" w:ascii="仿宋_GB2312" w:hAnsi="仿宋_GB2312" w:eastAsia="仿宋_GB2312" w:cs="仿宋_GB2312"/>
                <w:bCs/>
                <w:sz w:val="21"/>
                <w:szCs w:val="21"/>
                <w:lang w:val="en-US" w:eastAsia="zh-CN"/>
              </w:rPr>
              <w:br w:type="textWrapping"/>
            </w:r>
            <w:r>
              <w:rPr>
                <w:rFonts w:hint="eastAsia" w:ascii="仿宋_GB2312" w:hAnsi="仿宋_GB2312" w:eastAsia="仿宋_GB2312" w:cs="仿宋_GB2312"/>
                <w:bCs/>
                <w:sz w:val="21"/>
                <w:szCs w:val="21"/>
                <w:lang w:val="en-US" w:eastAsia="zh-CN"/>
              </w:rPr>
              <w:t xml:space="preserve">    前款规定的行为有违法经营额或者违法所得的,予以没收,可以并处违法经营额1倍以上3倍以下或者违法所得3倍以上5倍以下的罚款。</w:t>
            </w:r>
          </w:p>
          <w:p>
            <w:pPr>
              <w:pStyle w:val="17"/>
              <w:ind w:firstLine="420"/>
              <w:jc w:val="both"/>
              <w:rPr>
                <w:rFonts w:hint="eastAsia" w:ascii="仿宋_GB2312" w:hAnsi="仿宋_GB2312" w:eastAsia="仿宋_GB2312" w:cs="仿宋_GB2312"/>
                <w:bCs/>
                <w:sz w:val="21"/>
                <w:szCs w:val="21"/>
                <w:lang w:val="en-US" w:eastAsia="zh-CN"/>
              </w:rPr>
            </w:pPr>
          </w:p>
        </w:tc>
        <w:tc>
          <w:tcPr>
            <w:tcW w:w="1296" w:type="dxa"/>
            <w:vAlign w:val="center"/>
          </w:tcPr>
          <w:p>
            <w:pPr>
              <w:pStyle w:val="17"/>
              <w:jc w:val="both"/>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lang w:val="en-US" w:eastAsia="zh-CN"/>
              </w:rPr>
              <w:t xml:space="preserve">  陵川县民政局</w:t>
            </w:r>
          </w:p>
        </w:tc>
        <w:tc>
          <w:tcPr>
            <w:tcW w:w="1554" w:type="dxa"/>
            <w:vAlign w:val="center"/>
          </w:tcPr>
          <w:p>
            <w:pPr>
              <w:pStyle w:val="17"/>
              <w:ind w:firstLine="420"/>
              <w:jc w:val="both"/>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lang w:val="en-US" w:eastAsia="zh-CN"/>
              </w:rPr>
              <w:t>行政管理股</w:t>
            </w:r>
          </w:p>
        </w:tc>
        <w:tc>
          <w:tcPr>
            <w:tcW w:w="1084" w:type="dxa"/>
            <w:vAlign w:val="center"/>
          </w:tcPr>
          <w:p>
            <w:pPr>
              <w:pStyle w:val="17"/>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89" w:hRule="atLeast"/>
        </w:trPr>
        <w:tc>
          <w:tcPr>
            <w:tcW w:w="929" w:type="dxa"/>
            <w:vAlign w:val="center"/>
          </w:tcPr>
          <w:p>
            <w:pPr>
              <w:pStyle w:val="17"/>
              <w:ind w:firstLine="420"/>
              <w:jc w:val="center"/>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4</w:t>
            </w:r>
          </w:p>
        </w:tc>
        <w:tc>
          <w:tcPr>
            <w:tcW w:w="2057" w:type="dxa"/>
            <w:vAlign w:val="center"/>
          </w:tcPr>
          <w:p>
            <w:pPr>
              <w:pStyle w:val="17"/>
              <w:jc w:val="center"/>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对擅自移动或故意损毁界桩或行政区域界线标志物行为的行政处罚</w:t>
            </w:r>
          </w:p>
        </w:tc>
        <w:tc>
          <w:tcPr>
            <w:tcW w:w="1833" w:type="dxa"/>
            <w:vAlign w:val="center"/>
          </w:tcPr>
          <w:p>
            <w:pPr>
              <w:pStyle w:val="17"/>
              <w:ind w:firstLine="420"/>
              <w:jc w:val="center"/>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行政处罚</w:t>
            </w:r>
          </w:p>
        </w:tc>
        <w:tc>
          <w:tcPr>
            <w:tcW w:w="5921" w:type="dxa"/>
            <w:vAlign w:val="center"/>
          </w:tcPr>
          <w:p>
            <w:pPr>
              <w:pStyle w:val="17"/>
              <w:ind w:firstLine="420"/>
              <w:jc w:val="both"/>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br w:type="textWrapping"/>
            </w:r>
            <w:r>
              <w:rPr>
                <w:rFonts w:hint="eastAsia" w:ascii="仿宋_GB2312" w:hAnsi="仿宋_GB2312" w:eastAsia="仿宋_GB2312" w:cs="仿宋_GB2312"/>
                <w:bCs/>
                <w:sz w:val="21"/>
                <w:szCs w:val="21"/>
                <w:lang w:val="en-US" w:eastAsia="zh-CN"/>
              </w:rPr>
              <w:t xml:space="preserve">    【行政法规】《行政区域界线管理条例》（国务院令第353号，自2002年7月1日起施行）</w:t>
            </w:r>
            <w:r>
              <w:rPr>
                <w:rFonts w:hint="eastAsia" w:ascii="仿宋_GB2312" w:hAnsi="仿宋_GB2312" w:eastAsia="仿宋_GB2312" w:cs="仿宋_GB2312"/>
                <w:bCs/>
                <w:sz w:val="21"/>
                <w:szCs w:val="21"/>
                <w:lang w:val="en-US" w:eastAsia="zh-CN"/>
              </w:rPr>
              <w:br w:type="textWrapping"/>
            </w:r>
            <w:r>
              <w:rPr>
                <w:rFonts w:hint="eastAsia" w:ascii="仿宋_GB2312" w:hAnsi="仿宋_GB2312" w:eastAsia="仿宋_GB2312" w:cs="仿宋_GB2312"/>
                <w:bCs/>
                <w:sz w:val="21"/>
                <w:szCs w:val="21"/>
                <w:lang w:val="en-US" w:eastAsia="zh-CN"/>
              </w:rPr>
              <w:t xml:space="preserve">    第十七条 违反本条例的规定，故意损毁或者擅自移动界桩或者其他行政区域界线标志物的，应当支付修复标志物的费用，并由所在地负责管理该行政区域界线标志的人民政府民政部门处1000元以下的罚款；构成违反治安管理行为的，并依法给予治安管理处罚。</w:t>
            </w:r>
            <w:r>
              <w:rPr>
                <w:rFonts w:hint="eastAsia" w:ascii="仿宋_GB2312" w:hAnsi="仿宋_GB2312" w:eastAsia="仿宋_GB2312" w:cs="仿宋_GB2312"/>
                <w:bCs/>
                <w:sz w:val="21"/>
                <w:szCs w:val="21"/>
                <w:lang w:val="en-US" w:eastAsia="zh-CN"/>
              </w:rPr>
              <w:br w:type="textWrapping"/>
            </w:r>
          </w:p>
        </w:tc>
        <w:tc>
          <w:tcPr>
            <w:tcW w:w="1296" w:type="dxa"/>
            <w:vAlign w:val="center"/>
          </w:tcPr>
          <w:p>
            <w:pPr>
              <w:pStyle w:val="17"/>
              <w:jc w:val="both"/>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 xml:space="preserve"> 陵川县民政局</w:t>
            </w:r>
          </w:p>
        </w:tc>
        <w:tc>
          <w:tcPr>
            <w:tcW w:w="1554" w:type="dxa"/>
            <w:vAlign w:val="center"/>
          </w:tcPr>
          <w:p>
            <w:pPr>
              <w:pStyle w:val="17"/>
              <w:jc w:val="both"/>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 xml:space="preserve">  行政管理股</w:t>
            </w:r>
          </w:p>
        </w:tc>
        <w:tc>
          <w:tcPr>
            <w:tcW w:w="1084" w:type="dxa"/>
            <w:vAlign w:val="center"/>
          </w:tcPr>
          <w:p>
            <w:pPr>
              <w:pStyle w:val="17"/>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65" w:hRule="atLeast"/>
        </w:trPr>
        <w:tc>
          <w:tcPr>
            <w:tcW w:w="929" w:type="dxa"/>
            <w:vAlign w:val="center"/>
          </w:tcPr>
          <w:p>
            <w:pPr>
              <w:pStyle w:val="17"/>
              <w:ind w:firstLine="420"/>
              <w:jc w:val="center"/>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5</w:t>
            </w:r>
          </w:p>
        </w:tc>
        <w:tc>
          <w:tcPr>
            <w:tcW w:w="2057" w:type="dxa"/>
            <w:vAlign w:val="center"/>
          </w:tcPr>
          <w:p>
            <w:pPr>
              <w:pStyle w:val="17"/>
              <w:jc w:val="center"/>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对擅自编制行政区域界线详图，或改变行政区域界线画法行为的行政处罚</w:t>
            </w:r>
          </w:p>
        </w:tc>
        <w:tc>
          <w:tcPr>
            <w:tcW w:w="1833" w:type="dxa"/>
            <w:vAlign w:val="center"/>
          </w:tcPr>
          <w:p>
            <w:pPr>
              <w:pStyle w:val="17"/>
              <w:ind w:firstLine="420"/>
              <w:jc w:val="center"/>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行政处罚</w:t>
            </w:r>
          </w:p>
        </w:tc>
        <w:tc>
          <w:tcPr>
            <w:tcW w:w="5921" w:type="dxa"/>
            <w:vAlign w:val="center"/>
          </w:tcPr>
          <w:p>
            <w:pPr>
              <w:pStyle w:val="17"/>
              <w:ind w:firstLine="420"/>
              <w:jc w:val="both"/>
              <w:rPr>
                <w:rFonts w:hint="eastAsia" w:ascii="仿宋_GB2312" w:hAnsi="仿宋_GB2312" w:eastAsia="仿宋_GB2312" w:cs="仿宋_GB2312"/>
                <w:bCs/>
                <w:sz w:val="21"/>
                <w:szCs w:val="21"/>
                <w:lang w:val="en-US" w:eastAsia="zh-CN"/>
              </w:rPr>
            </w:pPr>
          </w:p>
          <w:p>
            <w:pPr>
              <w:pStyle w:val="17"/>
              <w:ind w:firstLine="420"/>
              <w:jc w:val="both"/>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【行政法规】《行政区域界线管理条例》（国务院令第353号，自2002年7月1日起施行）</w:t>
            </w:r>
            <w:r>
              <w:rPr>
                <w:rFonts w:hint="eastAsia" w:ascii="仿宋_GB2312" w:hAnsi="仿宋_GB2312" w:eastAsia="仿宋_GB2312" w:cs="仿宋_GB2312"/>
                <w:bCs/>
                <w:sz w:val="21"/>
                <w:szCs w:val="21"/>
                <w:lang w:val="en-US" w:eastAsia="zh-CN"/>
              </w:rPr>
              <w:br w:type="textWrapping"/>
            </w:r>
            <w:r>
              <w:rPr>
                <w:rFonts w:hint="eastAsia" w:ascii="仿宋_GB2312" w:hAnsi="仿宋_GB2312" w:eastAsia="仿宋_GB2312" w:cs="仿宋_GB2312"/>
                <w:bCs/>
                <w:sz w:val="21"/>
                <w:szCs w:val="21"/>
                <w:lang w:val="en-US" w:eastAsia="zh-CN"/>
              </w:rPr>
              <w:t xml:space="preserve">    第十八条 违反本条例的规定，擅自编制行政区域界线详图，或者绘制的地图的行政区域界线的画法与行政区域界线详图的画法不一致的，由有关人民政府民政部门责令停止违法行为，没收违法编制的行政区域界线详图和违法所得，并处1万元以下的罚款。</w:t>
            </w:r>
          </w:p>
          <w:p>
            <w:pPr>
              <w:pStyle w:val="17"/>
              <w:ind w:firstLine="420"/>
              <w:jc w:val="both"/>
              <w:rPr>
                <w:rFonts w:hint="eastAsia" w:ascii="仿宋_GB2312" w:hAnsi="仿宋_GB2312" w:eastAsia="仿宋_GB2312" w:cs="仿宋_GB2312"/>
                <w:bCs/>
                <w:sz w:val="21"/>
                <w:szCs w:val="21"/>
                <w:lang w:val="en-US" w:eastAsia="zh-CN"/>
              </w:rPr>
            </w:pPr>
          </w:p>
        </w:tc>
        <w:tc>
          <w:tcPr>
            <w:tcW w:w="1296" w:type="dxa"/>
            <w:vAlign w:val="center"/>
          </w:tcPr>
          <w:p>
            <w:pPr>
              <w:pStyle w:val="17"/>
              <w:jc w:val="both"/>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 xml:space="preserve"> 陵川县民政局</w:t>
            </w:r>
          </w:p>
        </w:tc>
        <w:tc>
          <w:tcPr>
            <w:tcW w:w="1554" w:type="dxa"/>
            <w:vAlign w:val="center"/>
          </w:tcPr>
          <w:p>
            <w:pPr>
              <w:pStyle w:val="17"/>
              <w:jc w:val="both"/>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 xml:space="preserve">  行政管理股</w:t>
            </w:r>
          </w:p>
        </w:tc>
        <w:tc>
          <w:tcPr>
            <w:tcW w:w="1084" w:type="dxa"/>
            <w:vAlign w:val="center"/>
          </w:tcPr>
          <w:p>
            <w:pPr>
              <w:pStyle w:val="17"/>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pPr>
              <w:pStyle w:val="17"/>
              <w:jc w:val="center"/>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6</w:t>
            </w:r>
          </w:p>
        </w:tc>
        <w:tc>
          <w:tcPr>
            <w:tcW w:w="2057" w:type="dxa"/>
            <w:vAlign w:val="center"/>
          </w:tcPr>
          <w:p>
            <w:pPr>
              <w:pStyle w:val="17"/>
              <w:jc w:val="center"/>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对困难残疾人生活补贴和重度残疾人护理补贴的行政给付</w:t>
            </w:r>
          </w:p>
        </w:tc>
        <w:tc>
          <w:tcPr>
            <w:tcW w:w="1833" w:type="dxa"/>
            <w:vAlign w:val="center"/>
          </w:tcPr>
          <w:p>
            <w:pPr>
              <w:pStyle w:val="17"/>
              <w:jc w:val="center"/>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行政给付</w:t>
            </w:r>
          </w:p>
        </w:tc>
        <w:tc>
          <w:tcPr>
            <w:tcW w:w="5921" w:type="dxa"/>
            <w:vAlign w:val="center"/>
          </w:tcPr>
          <w:p>
            <w:pPr>
              <w:pStyle w:val="17"/>
              <w:ind w:firstLine="420"/>
              <w:jc w:val="both"/>
              <w:rPr>
                <w:rFonts w:hint="eastAsia" w:ascii="仿宋_GB2312" w:hAnsi="仿宋_GB2312" w:eastAsia="仿宋_GB2312" w:cs="仿宋_GB2312"/>
                <w:bCs/>
                <w:sz w:val="21"/>
                <w:szCs w:val="21"/>
                <w:lang w:val="en-US" w:eastAsia="zh-CN"/>
              </w:rPr>
            </w:pPr>
          </w:p>
          <w:p>
            <w:pPr>
              <w:pStyle w:val="17"/>
              <w:ind w:firstLine="420"/>
              <w:jc w:val="both"/>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【规范性文件】《国务院关于全面建立困难残疾人生活补贴和重度残疾人护理补贴制度的意见》（国发〔2015〕52号，国务院2015年9月22日印发，决定自2016年1月1日起施行。）</w:t>
            </w:r>
            <w:r>
              <w:rPr>
                <w:rFonts w:hint="eastAsia" w:ascii="仿宋_GB2312" w:hAnsi="仿宋_GB2312" w:eastAsia="仿宋_GB2312" w:cs="仿宋_GB2312"/>
                <w:bCs/>
                <w:sz w:val="21"/>
                <w:szCs w:val="21"/>
                <w:lang w:val="en-US" w:eastAsia="zh-CN"/>
              </w:rPr>
              <w:br w:type="textWrapping"/>
            </w:r>
            <w:r>
              <w:rPr>
                <w:rFonts w:hint="eastAsia" w:ascii="仿宋_GB2312" w:hAnsi="仿宋_GB2312" w:eastAsia="仿宋_GB2312" w:cs="仿宋_GB2312"/>
                <w:bCs/>
                <w:sz w:val="21"/>
                <w:szCs w:val="21"/>
                <w:lang w:val="en-US" w:eastAsia="zh-CN"/>
              </w:rPr>
              <w:t xml:space="preserve">    （一）补贴对象。困难残疾人生活补贴主要补助残疾人因残疾产生的额外生活支出，对象为低保家庭中的残疾人，有条件的地方可逐步扩大到低收入残疾人及其他困难残疾人。低收入残疾人及其他困难残疾人的认定标准由县级以上地方人民政府参照相关规定、结合实际情况制定。重度残疾人护理补贴主要补助残疾人因残疾产生的额外长期照护支出，对象为残疾等级被评定为一级、二级且需要长期照护的重度残疾人，有条件的地方可扩大到非重度智力、精神残疾人或其他残疾人，逐步推动形成面向所有需要长期照护残疾人的护理补贴制度。长期照护是指因残疾产生的特殊护理消费品和照护服务支出持续6个月以上时间。</w:t>
            </w:r>
          </w:p>
          <w:p>
            <w:pPr>
              <w:pStyle w:val="17"/>
              <w:ind w:firstLine="420"/>
              <w:jc w:val="both"/>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二）补贴标准。残疾人两项补贴标准由省级人民政府根据经济社会发展水平和残疾人生活保障需求、长期照护需求统筹确定，并适时调整。有条件的地方可以按照残疾人的不同困难程度制定分档补贴标准，提高制度精准性，加大补贴力度。</w:t>
            </w:r>
          </w:p>
          <w:p>
            <w:pPr>
              <w:pStyle w:val="17"/>
              <w:ind w:firstLine="420"/>
              <w:jc w:val="both"/>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（三）补贴形式。残疾人两项补贴采取现金形式按月发放。有条件的地方可根据实际情况详细划分补贴类别和标准，采取凭据报销或政府购买服务形式发放重度残疾人护理补贴。</w:t>
            </w:r>
          </w:p>
          <w:p>
            <w:pPr>
              <w:pStyle w:val="17"/>
              <w:jc w:val="both"/>
              <w:rPr>
                <w:rFonts w:hint="eastAsia" w:ascii="仿宋_GB2312" w:hAnsi="仿宋_GB2312" w:eastAsia="仿宋_GB2312" w:cs="仿宋_GB2312"/>
                <w:bCs/>
                <w:sz w:val="21"/>
                <w:szCs w:val="21"/>
                <w:lang w:val="en-US" w:eastAsia="zh-CN"/>
              </w:rPr>
            </w:pPr>
          </w:p>
          <w:p>
            <w:pPr>
              <w:pStyle w:val="17"/>
              <w:jc w:val="both"/>
              <w:rPr>
                <w:rFonts w:hint="eastAsia" w:ascii="仿宋_GB2312" w:hAnsi="仿宋_GB2312" w:eastAsia="仿宋_GB2312" w:cs="仿宋_GB2312"/>
                <w:bCs/>
                <w:sz w:val="21"/>
                <w:szCs w:val="21"/>
                <w:lang w:val="en-US" w:eastAsia="zh-CN"/>
              </w:rPr>
            </w:pPr>
          </w:p>
        </w:tc>
        <w:tc>
          <w:tcPr>
            <w:tcW w:w="1296" w:type="dxa"/>
            <w:vAlign w:val="center"/>
          </w:tcPr>
          <w:p>
            <w:pPr>
              <w:pStyle w:val="17"/>
              <w:jc w:val="both"/>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 xml:space="preserve"> 陵川县民政局</w:t>
            </w:r>
          </w:p>
        </w:tc>
        <w:tc>
          <w:tcPr>
            <w:tcW w:w="1554" w:type="dxa"/>
            <w:vAlign w:val="center"/>
          </w:tcPr>
          <w:p>
            <w:pPr>
              <w:pStyle w:val="17"/>
              <w:jc w:val="center"/>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社救股</w:t>
            </w:r>
          </w:p>
        </w:tc>
        <w:tc>
          <w:tcPr>
            <w:tcW w:w="1084" w:type="dxa"/>
            <w:vAlign w:val="center"/>
          </w:tcPr>
          <w:p>
            <w:pPr>
              <w:pStyle w:val="17"/>
              <w:jc w:val="center"/>
              <w:rPr>
                <w:rFonts w:hint="eastAsia" w:ascii="仿宋_GB2312" w:hAnsi="仿宋_GB2312" w:eastAsia="仿宋_GB2312" w:cs="仿宋_GB2312"/>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3" w:hRule="atLeast"/>
        </w:trPr>
        <w:tc>
          <w:tcPr>
            <w:tcW w:w="929" w:type="dxa"/>
            <w:vAlign w:val="center"/>
          </w:tcPr>
          <w:p>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7</w:t>
            </w:r>
          </w:p>
        </w:tc>
        <w:tc>
          <w:tcPr>
            <w:tcW w:w="2057" w:type="dxa"/>
            <w:vAlign w:val="center"/>
          </w:tcPr>
          <w:p>
            <w:pPr>
              <w:keepNext w:val="0"/>
              <w:keepLines w:val="0"/>
              <w:widowControl/>
              <w:suppressLineNumbers w:val="0"/>
              <w:jc w:val="center"/>
              <w:textAlignment w:val="center"/>
              <w:rPr>
                <w:rFonts w:hint="eastAsia" w:ascii="仿宋_GB2312" w:hAnsi="仿宋_GB2312" w:eastAsia="仿宋_GB2312" w:cs="仿宋_GB2312"/>
                <w:bCs/>
                <w:snapToGrid w:val="0"/>
                <w:color w:val="000000"/>
                <w:kern w:val="0"/>
                <w:sz w:val="21"/>
                <w:szCs w:val="21"/>
                <w:lang w:val="en-US" w:eastAsia="zh-CN" w:bidi="ar-SA"/>
              </w:rPr>
            </w:pPr>
            <w:r>
              <w:rPr>
                <w:rFonts w:hint="eastAsia" w:ascii="仿宋_GB2312" w:hAnsi="仿宋_GB2312" w:eastAsia="仿宋_GB2312" w:cs="仿宋_GB2312"/>
                <w:bCs/>
                <w:snapToGrid w:val="0"/>
                <w:color w:val="000000"/>
                <w:kern w:val="0"/>
                <w:sz w:val="21"/>
                <w:szCs w:val="21"/>
                <w:lang w:val="en-US" w:eastAsia="zh-CN" w:bidi="ar-SA"/>
              </w:rPr>
              <w:t>对城市生活无着的流浪乞讨人员救助管理的行政给付</w:t>
            </w:r>
          </w:p>
        </w:tc>
        <w:tc>
          <w:tcPr>
            <w:tcW w:w="1833" w:type="dxa"/>
            <w:vAlign w:val="center"/>
          </w:tcPr>
          <w:p>
            <w:pPr>
              <w:keepNext w:val="0"/>
              <w:keepLines w:val="0"/>
              <w:widowControl/>
              <w:suppressLineNumbers w:val="0"/>
              <w:jc w:val="center"/>
              <w:textAlignment w:val="center"/>
              <w:rPr>
                <w:rFonts w:hint="eastAsia" w:ascii="仿宋_GB2312" w:hAnsi="仿宋_GB2312" w:eastAsia="仿宋_GB2312" w:cs="仿宋_GB2312"/>
                <w:bCs/>
                <w:snapToGrid w:val="0"/>
                <w:color w:val="000000"/>
                <w:kern w:val="0"/>
                <w:sz w:val="21"/>
                <w:szCs w:val="21"/>
                <w:lang w:val="en-US" w:eastAsia="zh-CN" w:bidi="ar-SA"/>
              </w:rPr>
            </w:pPr>
            <w:r>
              <w:rPr>
                <w:rFonts w:hint="eastAsia" w:ascii="仿宋_GB2312" w:hAnsi="仿宋_GB2312" w:eastAsia="仿宋_GB2312" w:cs="仿宋_GB2312"/>
                <w:bCs/>
                <w:snapToGrid w:val="0"/>
                <w:color w:val="000000"/>
                <w:kern w:val="0"/>
                <w:sz w:val="21"/>
                <w:szCs w:val="21"/>
                <w:lang w:val="en-US" w:eastAsia="zh-CN" w:bidi="ar-SA"/>
              </w:rPr>
              <w:t>行政给付</w:t>
            </w:r>
          </w:p>
        </w:tc>
        <w:tc>
          <w:tcPr>
            <w:tcW w:w="5921" w:type="dxa"/>
            <w:vAlign w:val="center"/>
          </w:tcPr>
          <w:p>
            <w:pPr>
              <w:keepNext w:val="0"/>
              <w:keepLines w:val="0"/>
              <w:widowControl/>
              <w:suppressLineNumbers w:val="0"/>
              <w:jc w:val="left"/>
              <w:textAlignment w:val="center"/>
              <w:rPr>
                <w:rFonts w:hint="eastAsia" w:ascii="仿宋_GB2312" w:hAnsi="仿宋_GB2312" w:eastAsia="仿宋_GB2312" w:cs="仿宋_GB2312"/>
                <w:bCs/>
                <w:snapToGrid w:val="0"/>
                <w:color w:val="000000"/>
                <w:kern w:val="0"/>
                <w:sz w:val="21"/>
                <w:szCs w:val="21"/>
                <w:lang w:val="en-US" w:eastAsia="zh-CN" w:bidi="ar-SA"/>
              </w:rPr>
            </w:pPr>
            <w:r>
              <w:rPr>
                <w:rFonts w:hint="eastAsia" w:ascii="仿宋_GB2312" w:hAnsi="仿宋_GB2312" w:eastAsia="仿宋_GB2312" w:cs="仿宋_GB2312"/>
                <w:bCs/>
                <w:snapToGrid w:val="0"/>
                <w:color w:val="000000"/>
                <w:kern w:val="0"/>
                <w:sz w:val="21"/>
                <w:szCs w:val="21"/>
                <w:lang w:val="en-US" w:eastAsia="zh-CN" w:bidi="ar-SA"/>
              </w:rPr>
              <w:t xml:space="preserve">    【行政法规】《城市生活无着的流浪乞讨人员救助管理办法》（国务院第381号令，已经2003年6月18日国务院第12次常务会议通过，现予公布，自2003年8月1日起施行。）</w:t>
            </w:r>
            <w:r>
              <w:rPr>
                <w:rFonts w:hint="eastAsia" w:ascii="仿宋_GB2312" w:hAnsi="仿宋_GB2312" w:eastAsia="仿宋_GB2312" w:cs="仿宋_GB2312"/>
                <w:bCs/>
                <w:snapToGrid w:val="0"/>
                <w:color w:val="000000"/>
                <w:kern w:val="0"/>
                <w:sz w:val="21"/>
                <w:szCs w:val="21"/>
                <w:lang w:val="en-US" w:eastAsia="zh-CN" w:bidi="ar-SA"/>
              </w:rPr>
              <w:br w:type="textWrapping"/>
            </w:r>
            <w:r>
              <w:rPr>
                <w:rFonts w:hint="eastAsia" w:ascii="仿宋_GB2312" w:hAnsi="仿宋_GB2312" w:eastAsia="仿宋_GB2312" w:cs="仿宋_GB2312"/>
                <w:bCs/>
                <w:snapToGrid w:val="0"/>
                <w:color w:val="000000"/>
                <w:kern w:val="0"/>
                <w:sz w:val="21"/>
                <w:szCs w:val="21"/>
                <w:lang w:val="en-US" w:eastAsia="zh-CN" w:bidi="ar-SA"/>
              </w:rPr>
              <w:t xml:space="preserve">    第二条　县级以上城市人民政府应当根据需要设立流浪乞讨人员救助站。救助站对流浪乞讨人员的救助是一项临时性社会救助措施。</w:t>
            </w:r>
            <w:r>
              <w:rPr>
                <w:rFonts w:hint="eastAsia" w:ascii="仿宋_GB2312" w:hAnsi="仿宋_GB2312" w:eastAsia="仿宋_GB2312" w:cs="仿宋_GB2312"/>
                <w:bCs/>
                <w:snapToGrid w:val="0"/>
                <w:color w:val="000000"/>
                <w:kern w:val="0"/>
                <w:sz w:val="21"/>
                <w:szCs w:val="21"/>
                <w:lang w:val="en-US" w:eastAsia="zh-CN" w:bidi="ar-SA"/>
              </w:rPr>
              <w:br w:type="textWrapping"/>
            </w:r>
            <w:r>
              <w:rPr>
                <w:rFonts w:hint="eastAsia" w:ascii="仿宋_GB2312" w:hAnsi="仿宋_GB2312" w:eastAsia="仿宋_GB2312" w:cs="仿宋_GB2312"/>
                <w:bCs/>
                <w:snapToGrid w:val="0"/>
                <w:color w:val="000000"/>
                <w:kern w:val="0"/>
                <w:sz w:val="21"/>
                <w:szCs w:val="21"/>
                <w:lang w:val="en-US" w:eastAsia="zh-CN" w:bidi="ar-SA"/>
              </w:rPr>
              <w:t>　　第三条　县级以上城市人民政府应当采取积极措施及时救助流浪乞讨人员，并应当将救助工作所需经费列入财政预算，予以保障。国家鼓励、支持社会组织和个人救助流浪乞讨人员。</w:t>
            </w:r>
            <w:r>
              <w:rPr>
                <w:rFonts w:hint="eastAsia" w:ascii="仿宋_GB2312" w:hAnsi="仿宋_GB2312" w:eastAsia="仿宋_GB2312" w:cs="仿宋_GB2312"/>
                <w:bCs/>
                <w:snapToGrid w:val="0"/>
                <w:color w:val="000000"/>
                <w:kern w:val="0"/>
                <w:sz w:val="21"/>
                <w:szCs w:val="21"/>
                <w:lang w:val="en-US" w:eastAsia="zh-CN" w:bidi="ar-SA"/>
              </w:rPr>
              <w:br w:type="textWrapping"/>
            </w:r>
            <w:r>
              <w:rPr>
                <w:rFonts w:hint="eastAsia" w:ascii="仿宋_GB2312" w:hAnsi="仿宋_GB2312" w:eastAsia="仿宋_GB2312" w:cs="仿宋_GB2312"/>
                <w:bCs/>
                <w:snapToGrid w:val="0"/>
                <w:color w:val="000000"/>
                <w:kern w:val="0"/>
                <w:sz w:val="21"/>
                <w:szCs w:val="21"/>
                <w:lang w:val="en-US" w:eastAsia="zh-CN" w:bidi="ar-SA"/>
              </w:rPr>
              <w:t>　　第四条　县级以上人民政府民政部门负责流浪乞讨人员的救助工作，并对救助站进行指导、监督。公安、卫生、交通、铁道、城管等部门应当在各自的职责范围内做好相关工作。</w:t>
            </w:r>
          </w:p>
        </w:tc>
        <w:tc>
          <w:tcPr>
            <w:tcW w:w="1296" w:type="dxa"/>
            <w:vAlign w:val="center"/>
          </w:tcPr>
          <w:p>
            <w:pPr>
              <w:keepNext w:val="0"/>
              <w:keepLines w:val="0"/>
              <w:widowControl/>
              <w:suppressLineNumbers w:val="0"/>
              <w:jc w:val="center"/>
              <w:textAlignment w:val="center"/>
              <w:rPr>
                <w:rFonts w:hint="eastAsia" w:ascii="仿宋_GB2312" w:hAnsi="仿宋_GB2312" w:eastAsia="仿宋_GB2312" w:cs="仿宋_GB2312"/>
                <w:bCs/>
                <w:snapToGrid w:val="0"/>
                <w:color w:val="000000"/>
                <w:kern w:val="0"/>
                <w:sz w:val="21"/>
                <w:szCs w:val="21"/>
                <w:lang w:val="en-US" w:eastAsia="zh-CN" w:bidi="ar-SA"/>
              </w:rPr>
            </w:pPr>
            <w:r>
              <w:rPr>
                <w:rFonts w:hint="eastAsia" w:ascii="仿宋_GB2312" w:hAnsi="仿宋_GB2312" w:eastAsia="仿宋_GB2312" w:cs="仿宋_GB2312"/>
                <w:bCs/>
                <w:snapToGrid w:val="0"/>
                <w:color w:val="000000"/>
                <w:kern w:val="0"/>
                <w:sz w:val="21"/>
                <w:szCs w:val="21"/>
                <w:lang w:val="en-US" w:eastAsia="zh-CN" w:bidi="ar-SA"/>
              </w:rPr>
              <w:t>陵川县民政局</w:t>
            </w:r>
          </w:p>
        </w:tc>
        <w:tc>
          <w:tcPr>
            <w:tcW w:w="1554" w:type="dxa"/>
            <w:vAlign w:val="center"/>
          </w:tcPr>
          <w:p>
            <w:pPr>
              <w:keepNext w:val="0"/>
              <w:keepLines w:val="0"/>
              <w:widowControl/>
              <w:suppressLineNumbers w:val="0"/>
              <w:jc w:val="center"/>
              <w:textAlignment w:val="center"/>
              <w:rPr>
                <w:rFonts w:hint="eastAsia" w:ascii="仿宋_GB2312" w:hAnsi="仿宋_GB2312" w:eastAsia="仿宋_GB2312" w:cs="仿宋_GB2312"/>
                <w:bCs/>
                <w:snapToGrid w:val="0"/>
                <w:color w:val="000000"/>
                <w:kern w:val="0"/>
                <w:sz w:val="21"/>
                <w:szCs w:val="21"/>
                <w:lang w:val="en-US" w:eastAsia="zh-CN" w:bidi="ar-SA"/>
              </w:rPr>
            </w:pPr>
            <w:r>
              <w:rPr>
                <w:rFonts w:hint="eastAsia" w:ascii="仿宋_GB2312" w:hAnsi="仿宋_GB2312" w:eastAsia="仿宋_GB2312" w:cs="仿宋_GB2312"/>
                <w:bCs/>
                <w:snapToGrid w:val="0"/>
                <w:color w:val="000000"/>
                <w:kern w:val="0"/>
                <w:sz w:val="21"/>
                <w:szCs w:val="21"/>
                <w:lang w:val="en-US" w:eastAsia="zh-CN" w:bidi="ar-SA"/>
              </w:rPr>
              <w:t>救助站</w:t>
            </w:r>
          </w:p>
        </w:tc>
        <w:tc>
          <w:tcPr>
            <w:tcW w:w="1084" w:type="dxa"/>
            <w:vAlign w:val="center"/>
          </w:tcPr>
          <w:p>
            <w:pPr>
              <w:pStyle w:val="17"/>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3" w:hRule="atLeast"/>
        </w:trPr>
        <w:tc>
          <w:tcPr>
            <w:tcW w:w="929" w:type="dxa"/>
            <w:vAlign w:val="center"/>
          </w:tcPr>
          <w:p>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8</w:t>
            </w:r>
          </w:p>
        </w:tc>
        <w:tc>
          <w:tcPr>
            <w:tcW w:w="2057" w:type="dxa"/>
            <w:vAlign w:val="center"/>
          </w:tcPr>
          <w:p>
            <w:pPr>
              <w:keepNext w:val="0"/>
              <w:keepLines w:val="0"/>
              <w:widowControl/>
              <w:suppressLineNumbers w:val="0"/>
              <w:jc w:val="center"/>
              <w:textAlignment w:val="center"/>
              <w:rPr>
                <w:rFonts w:hint="eastAsia" w:ascii="仿宋_GB2312" w:hAnsi="仿宋_GB2312" w:eastAsia="仿宋_GB2312" w:cs="仿宋_GB2312"/>
                <w:bCs/>
                <w:snapToGrid w:val="0"/>
                <w:color w:val="000000"/>
                <w:kern w:val="0"/>
                <w:sz w:val="21"/>
                <w:szCs w:val="21"/>
                <w:lang w:val="en-US" w:eastAsia="zh-CN" w:bidi="ar-SA"/>
              </w:rPr>
            </w:pPr>
            <w:r>
              <w:rPr>
                <w:rFonts w:hint="eastAsia" w:ascii="仿宋_GB2312" w:hAnsi="仿宋_GB2312" w:eastAsia="仿宋_GB2312" w:cs="仿宋_GB2312"/>
                <w:bCs/>
                <w:snapToGrid w:val="0"/>
                <w:color w:val="000000"/>
                <w:kern w:val="0"/>
                <w:sz w:val="21"/>
                <w:szCs w:val="21"/>
                <w:lang w:val="en-US" w:eastAsia="zh-CN" w:bidi="ar-SA"/>
              </w:rPr>
              <w:t>对孤儿基本生活保障金的行政给付</w:t>
            </w:r>
          </w:p>
        </w:tc>
        <w:tc>
          <w:tcPr>
            <w:tcW w:w="1833" w:type="dxa"/>
            <w:vAlign w:val="center"/>
          </w:tcPr>
          <w:p>
            <w:pPr>
              <w:keepNext w:val="0"/>
              <w:keepLines w:val="0"/>
              <w:widowControl/>
              <w:suppressLineNumbers w:val="0"/>
              <w:jc w:val="center"/>
              <w:textAlignment w:val="center"/>
              <w:rPr>
                <w:rFonts w:hint="eastAsia" w:ascii="仿宋_GB2312" w:hAnsi="仿宋_GB2312" w:eastAsia="仿宋_GB2312" w:cs="仿宋_GB2312"/>
                <w:bCs/>
                <w:snapToGrid w:val="0"/>
                <w:color w:val="000000"/>
                <w:kern w:val="0"/>
                <w:sz w:val="21"/>
                <w:szCs w:val="21"/>
                <w:lang w:val="en-US" w:eastAsia="zh-CN" w:bidi="ar-SA"/>
              </w:rPr>
            </w:pPr>
            <w:r>
              <w:rPr>
                <w:rFonts w:hint="eastAsia" w:ascii="仿宋_GB2312" w:hAnsi="仿宋_GB2312" w:eastAsia="仿宋_GB2312" w:cs="仿宋_GB2312"/>
                <w:bCs/>
                <w:snapToGrid w:val="0"/>
                <w:color w:val="000000"/>
                <w:kern w:val="0"/>
                <w:sz w:val="21"/>
                <w:szCs w:val="21"/>
                <w:lang w:val="en-US" w:eastAsia="zh-CN" w:bidi="ar-SA"/>
              </w:rPr>
              <w:t>行政给付</w:t>
            </w:r>
          </w:p>
        </w:tc>
        <w:tc>
          <w:tcPr>
            <w:tcW w:w="5921" w:type="dxa"/>
            <w:vAlign w:val="center"/>
          </w:tcPr>
          <w:p>
            <w:pPr>
              <w:keepNext w:val="0"/>
              <w:keepLines w:val="0"/>
              <w:widowControl/>
              <w:suppressLineNumbers w:val="0"/>
              <w:jc w:val="left"/>
              <w:textAlignment w:val="center"/>
              <w:rPr>
                <w:rFonts w:hint="eastAsia" w:ascii="仿宋_GB2312" w:hAnsi="仿宋_GB2312" w:eastAsia="仿宋_GB2312" w:cs="仿宋_GB2312"/>
                <w:bCs/>
                <w:snapToGrid w:val="0"/>
                <w:color w:val="000000"/>
                <w:kern w:val="0"/>
                <w:sz w:val="21"/>
                <w:szCs w:val="21"/>
                <w:lang w:val="en-US" w:eastAsia="zh-CN" w:bidi="ar-SA"/>
              </w:rPr>
            </w:pPr>
          </w:p>
          <w:p>
            <w:pPr>
              <w:keepNext w:val="0"/>
              <w:keepLines w:val="0"/>
              <w:widowControl/>
              <w:suppressLineNumbers w:val="0"/>
              <w:jc w:val="left"/>
              <w:textAlignment w:val="center"/>
              <w:rPr>
                <w:rFonts w:hint="eastAsia" w:ascii="仿宋_GB2312" w:hAnsi="仿宋_GB2312" w:eastAsia="仿宋_GB2312" w:cs="仿宋_GB2312"/>
                <w:bCs/>
                <w:snapToGrid w:val="0"/>
                <w:color w:val="000000"/>
                <w:kern w:val="0"/>
                <w:sz w:val="21"/>
                <w:szCs w:val="21"/>
                <w:lang w:val="en-US" w:eastAsia="zh-CN" w:bidi="ar-SA"/>
              </w:rPr>
            </w:pPr>
            <w:r>
              <w:rPr>
                <w:rFonts w:hint="eastAsia" w:ascii="仿宋_GB2312" w:hAnsi="仿宋_GB2312" w:eastAsia="仿宋_GB2312" w:cs="仿宋_GB2312"/>
                <w:bCs/>
                <w:snapToGrid w:val="0"/>
                <w:color w:val="000000"/>
                <w:kern w:val="0"/>
                <w:sz w:val="21"/>
                <w:szCs w:val="21"/>
                <w:lang w:val="en-US" w:eastAsia="zh-CN" w:bidi="ar-SA"/>
              </w:rPr>
              <w:t xml:space="preserve">    【规范性文件】《民政部关于进一步完善保障孤儿基本生活有关工作的意见》（民发〔2011〕207号，2011年12月14日印发。） </w:t>
            </w:r>
            <w:r>
              <w:rPr>
                <w:rFonts w:hint="eastAsia" w:ascii="仿宋_GB2312" w:hAnsi="仿宋_GB2312" w:eastAsia="仿宋_GB2312" w:cs="仿宋_GB2312"/>
                <w:bCs/>
                <w:snapToGrid w:val="0"/>
                <w:color w:val="000000"/>
                <w:kern w:val="0"/>
                <w:sz w:val="21"/>
                <w:szCs w:val="21"/>
                <w:lang w:val="en-US" w:eastAsia="zh-CN" w:bidi="ar-SA"/>
              </w:rPr>
              <w:br w:type="textWrapping"/>
            </w:r>
            <w:r>
              <w:rPr>
                <w:rFonts w:hint="eastAsia" w:ascii="仿宋_GB2312" w:hAnsi="仿宋_GB2312" w:eastAsia="仿宋_GB2312" w:cs="仿宋_GB2312"/>
                <w:bCs/>
                <w:snapToGrid w:val="0"/>
                <w:color w:val="000000"/>
                <w:kern w:val="0"/>
                <w:sz w:val="21"/>
                <w:szCs w:val="21"/>
                <w:lang w:val="en-US" w:eastAsia="zh-CN" w:bidi="ar-SA"/>
              </w:rPr>
              <w:t xml:space="preserve">    二、确保孤儿基本生活费及时足额到位。按照《意见》及《通知》要求，孤儿基本生活费由地方各级财政安排专项资金予以保障，中央财政安排专项资金予以补助。中央财政补助资金自2011年起采取预拨方式，将部分来年所需资金跨年度提前下拨各地。各地要定期与财政部门沟通，确保按月发放孤儿基本生活费，不具备条件的地方可按季度发放。孤儿基本生活费严格执行专款专用，不得从中列支工作费用。相关工作经费根据《意见》规定，通过财政拨款和民政部门使用的彩票公益金等渠道解决。</w:t>
            </w:r>
          </w:p>
          <w:p>
            <w:pPr>
              <w:keepNext w:val="0"/>
              <w:keepLines w:val="0"/>
              <w:widowControl/>
              <w:suppressLineNumbers w:val="0"/>
              <w:jc w:val="left"/>
              <w:textAlignment w:val="center"/>
              <w:rPr>
                <w:rFonts w:hint="eastAsia" w:ascii="仿宋_GB2312" w:hAnsi="仿宋_GB2312" w:eastAsia="仿宋_GB2312" w:cs="仿宋_GB2312"/>
                <w:bCs/>
                <w:snapToGrid w:val="0"/>
                <w:color w:val="000000"/>
                <w:kern w:val="0"/>
                <w:sz w:val="21"/>
                <w:szCs w:val="21"/>
                <w:lang w:val="en-US" w:eastAsia="zh-CN" w:bidi="ar-SA"/>
              </w:rPr>
            </w:pPr>
          </w:p>
        </w:tc>
        <w:tc>
          <w:tcPr>
            <w:tcW w:w="1296" w:type="dxa"/>
            <w:vAlign w:val="center"/>
          </w:tcPr>
          <w:p>
            <w:pPr>
              <w:keepNext w:val="0"/>
              <w:keepLines w:val="0"/>
              <w:widowControl/>
              <w:suppressLineNumbers w:val="0"/>
              <w:jc w:val="left"/>
              <w:textAlignment w:val="center"/>
              <w:rPr>
                <w:rFonts w:hint="eastAsia" w:ascii="仿宋_GB2312" w:hAnsi="仿宋_GB2312" w:eastAsia="仿宋_GB2312" w:cs="仿宋_GB2312"/>
                <w:bCs/>
                <w:snapToGrid w:val="0"/>
                <w:color w:val="000000"/>
                <w:kern w:val="0"/>
                <w:sz w:val="21"/>
                <w:szCs w:val="21"/>
                <w:lang w:val="en-US" w:eastAsia="zh-CN" w:bidi="ar-SA"/>
              </w:rPr>
            </w:pPr>
            <w:r>
              <w:rPr>
                <w:rFonts w:hint="eastAsia" w:ascii="仿宋_GB2312" w:hAnsi="仿宋_GB2312" w:eastAsia="仿宋_GB2312" w:cs="仿宋_GB2312"/>
                <w:bCs/>
                <w:snapToGrid w:val="0"/>
                <w:color w:val="000000"/>
                <w:kern w:val="0"/>
                <w:sz w:val="21"/>
                <w:szCs w:val="21"/>
                <w:lang w:val="en-US" w:eastAsia="zh-CN" w:bidi="ar-SA"/>
              </w:rPr>
              <w:t>陵川县民政局</w:t>
            </w:r>
          </w:p>
        </w:tc>
        <w:tc>
          <w:tcPr>
            <w:tcW w:w="1554" w:type="dxa"/>
            <w:vAlign w:val="center"/>
          </w:tcPr>
          <w:p>
            <w:pPr>
              <w:keepNext w:val="0"/>
              <w:keepLines w:val="0"/>
              <w:widowControl/>
              <w:suppressLineNumbers w:val="0"/>
              <w:jc w:val="center"/>
              <w:textAlignment w:val="center"/>
              <w:rPr>
                <w:rFonts w:hint="eastAsia" w:ascii="仿宋_GB2312" w:hAnsi="仿宋_GB2312" w:eastAsia="仿宋_GB2312" w:cs="仿宋_GB2312"/>
                <w:bCs/>
                <w:snapToGrid w:val="0"/>
                <w:color w:val="000000"/>
                <w:kern w:val="0"/>
                <w:sz w:val="21"/>
                <w:szCs w:val="21"/>
                <w:lang w:val="en-US" w:eastAsia="zh-CN" w:bidi="ar-SA"/>
              </w:rPr>
            </w:pPr>
            <w:r>
              <w:rPr>
                <w:rFonts w:hint="eastAsia" w:ascii="仿宋_GB2312" w:hAnsi="仿宋_GB2312" w:eastAsia="仿宋_GB2312" w:cs="仿宋_GB2312"/>
                <w:bCs/>
                <w:snapToGrid w:val="0"/>
                <w:color w:val="000000"/>
                <w:kern w:val="0"/>
                <w:sz w:val="21"/>
                <w:szCs w:val="21"/>
                <w:lang w:val="en-US" w:eastAsia="zh-CN" w:bidi="ar-SA"/>
              </w:rPr>
              <w:t>社救股</w:t>
            </w:r>
          </w:p>
        </w:tc>
        <w:tc>
          <w:tcPr>
            <w:tcW w:w="1084" w:type="dxa"/>
            <w:vAlign w:val="center"/>
          </w:tcPr>
          <w:p>
            <w:pPr>
              <w:pStyle w:val="17"/>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2" w:hRule="atLeast"/>
        </w:trPr>
        <w:tc>
          <w:tcPr>
            <w:tcW w:w="929" w:type="dxa"/>
            <w:vAlign w:val="center"/>
          </w:tcPr>
          <w:p>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9</w:t>
            </w:r>
          </w:p>
        </w:tc>
        <w:tc>
          <w:tcPr>
            <w:tcW w:w="2057" w:type="dxa"/>
            <w:vAlign w:val="center"/>
          </w:tcPr>
          <w:p>
            <w:pPr>
              <w:keepNext w:val="0"/>
              <w:keepLines w:val="0"/>
              <w:widowControl/>
              <w:suppressLineNumbers w:val="0"/>
              <w:jc w:val="center"/>
              <w:textAlignment w:val="center"/>
              <w:rPr>
                <w:rFonts w:hint="eastAsia" w:ascii="仿宋_GB2312" w:hAnsi="仿宋_GB2312" w:eastAsia="仿宋_GB2312" w:cs="仿宋_GB2312"/>
                <w:bCs/>
                <w:snapToGrid w:val="0"/>
                <w:color w:val="000000"/>
                <w:kern w:val="0"/>
                <w:sz w:val="21"/>
                <w:szCs w:val="21"/>
                <w:lang w:val="en-US" w:eastAsia="zh-CN" w:bidi="ar-SA"/>
              </w:rPr>
            </w:pPr>
            <w:r>
              <w:rPr>
                <w:rFonts w:hint="eastAsia" w:ascii="仿宋_GB2312" w:hAnsi="仿宋_GB2312" w:eastAsia="仿宋_GB2312" w:cs="仿宋_GB2312"/>
                <w:bCs/>
                <w:snapToGrid w:val="0"/>
                <w:color w:val="000000"/>
                <w:kern w:val="0"/>
                <w:sz w:val="21"/>
                <w:szCs w:val="21"/>
                <w:lang w:val="en-US" w:eastAsia="zh-CN" w:bidi="ar-SA"/>
              </w:rPr>
              <w:t>对困难群众价格补贴、燃气补贴、困难群众慰问金的行政给付</w:t>
            </w:r>
          </w:p>
        </w:tc>
        <w:tc>
          <w:tcPr>
            <w:tcW w:w="1833" w:type="dxa"/>
            <w:vAlign w:val="center"/>
          </w:tcPr>
          <w:p>
            <w:pPr>
              <w:keepNext w:val="0"/>
              <w:keepLines w:val="0"/>
              <w:widowControl/>
              <w:suppressLineNumbers w:val="0"/>
              <w:jc w:val="center"/>
              <w:textAlignment w:val="center"/>
              <w:rPr>
                <w:rFonts w:hint="eastAsia" w:ascii="仿宋_GB2312" w:hAnsi="仿宋_GB2312" w:eastAsia="仿宋_GB2312" w:cs="仿宋_GB2312"/>
                <w:bCs/>
                <w:snapToGrid w:val="0"/>
                <w:color w:val="000000"/>
                <w:kern w:val="0"/>
                <w:sz w:val="21"/>
                <w:szCs w:val="21"/>
                <w:lang w:val="en-US" w:eastAsia="zh-CN" w:bidi="ar-SA"/>
              </w:rPr>
            </w:pPr>
            <w:r>
              <w:rPr>
                <w:rFonts w:hint="eastAsia" w:ascii="仿宋_GB2312" w:hAnsi="仿宋_GB2312" w:eastAsia="仿宋_GB2312" w:cs="仿宋_GB2312"/>
                <w:bCs/>
                <w:snapToGrid w:val="0"/>
                <w:color w:val="000000"/>
                <w:kern w:val="0"/>
                <w:sz w:val="21"/>
                <w:szCs w:val="21"/>
                <w:lang w:val="en-US" w:eastAsia="zh-CN" w:bidi="ar-SA"/>
              </w:rPr>
              <w:t>行政给付</w:t>
            </w:r>
          </w:p>
        </w:tc>
        <w:tc>
          <w:tcPr>
            <w:tcW w:w="5921" w:type="dxa"/>
            <w:vAlign w:val="center"/>
          </w:tcPr>
          <w:p>
            <w:pPr>
              <w:keepNext w:val="0"/>
              <w:keepLines w:val="0"/>
              <w:widowControl/>
              <w:suppressLineNumbers w:val="0"/>
              <w:ind w:firstLine="420"/>
              <w:jc w:val="left"/>
              <w:textAlignment w:val="center"/>
              <w:rPr>
                <w:rFonts w:hint="eastAsia" w:ascii="仿宋_GB2312" w:hAnsi="仿宋_GB2312" w:eastAsia="仿宋_GB2312" w:cs="仿宋_GB2312"/>
                <w:bCs/>
                <w:snapToGrid w:val="0"/>
                <w:color w:val="000000"/>
                <w:kern w:val="0"/>
                <w:sz w:val="21"/>
                <w:szCs w:val="21"/>
                <w:lang w:val="en-US" w:eastAsia="zh-CN" w:bidi="ar-SA"/>
              </w:rPr>
            </w:pPr>
            <w:r>
              <w:rPr>
                <w:rFonts w:hint="eastAsia" w:ascii="仿宋_GB2312" w:hAnsi="仿宋_GB2312" w:eastAsia="仿宋_GB2312" w:cs="仿宋_GB2312"/>
                <w:bCs/>
                <w:snapToGrid w:val="0"/>
                <w:color w:val="000000"/>
                <w:kern w:val="0"/>
                <w:sz w:val="21"/>
                <w:szCs w:val="21"/>
                <w:lang w:val="en-US" w:eastAsia="zh-CN" w:bidi="ar-SA"/>
              </w:rPr>
              <w:t xml:space="preserve">【规范性文件】《关于进一步完善社会救助保障标准与物价上涨挂钩联动机制的通知》（发改价格规〔2017〕1835号，2016年8月22日印发）   </w:t>
            </w:r>
          </w:p>
          <w:p>
            <w:pPr>
              <w:keepNext w:val="0"/>
              <w:keepLines w:val="0"/>
              <w:widowControl/>
              <w:suppressLineNumbers w:val="0"/>
              <w:ind w:firstLine="420"/>
              <w:jc w:val="left"/>
              <w:textAlignment w:val="center"/>
              <w:rPr>
                <w:rFonts w:hint="eastAsia" w:ascii="仿宋_GB2312" w:hAnsi="仿宋_GB2312" w:eastAsia="仿宋_GB2312" w:cs="仿宋_GB2312"/>
                <w:bCs/>
                <w:snapToGrid w:val="0"/>
                <w:color w:val="000000"/>
                <w:kern w:val="0"/>
                <w:sz w:val="21"/>
                <w:szCs w:val="21"/>
                <w:lang w:val="en-US" w:eastAsia="zh-CN" w:bidi="ar-SA"/>
              </w:rPr>
            </w:pPr>
            <w:r>
              <w:rPr>
                <w:rFonts w:hint="eastAsia" w:ascii="仿宋_GB2312" w:hAnsi="仿宋_GB2312" w:eastAsia="仿宋_GB2312" w:cs="仿宋_GB2312"/>
                <w:bCs/>
                <w:snapToGrid w:val="0"/>
                <w:color w:val="000000"/>
                <w:kern w:val="0"/>
                <w:sz w:val="21"/>
                <w:szCs w:val="21"/>
                <w:lang w:val="en-US" w:eastAsia="zh-CN" w:bidi="ar-SA"/>
              </w:rPr>
              <w:t>联动机制保障对象为：享受国家定期抚恤补助的优抚对象、城乡低保对象、特困人员、领取失业保险金人员。各地可根据实际适当扩大保障范围，但不得缩小保障范围。价格临时补贴实行“按月测算、按月发放”。达到启动条件的，要在锚定价格指数发布后及时启动联动机制，并确保在指数发布后20个工作日内完成价格临时补贴发放。</w:t>
            </w:r>
          </w:p>
        </w:tc>
        <w:tc>
          <w:tcPr>
            <w:tcW w:w="1296" w:type="dxa"/>
            <w:vAlign w:val="center"/>
          </w:tcPr>
          <w:p>
            <w:pPr>
              <w:keepNext w:val="0"/>
              <w:keepLines w:val="0"/>
              <w:widowControl/>
              <w:suppressLineNumbers w:val="0"/>
              <w:jc w:val="left"/>
              <w:textAlignment w:val="center"/>
              <w:rPr>
                <w:rFonts w:hint="eastAsia" w:ascii="仿宋_GB2312" w:hAnsi="仿宋_GB2312" w:eastAsia="仿宋_GB2312" w:cs="仿宋_GB2312"/>
                <w:bCs/>
                <w:snapToGrid w:val="0"/>
                <w:color w:val="000000"/>
                <w:kern w:val="0"/>
                <w:sz w:val="21"/>
                <w:szCs w:val="21"/>
                <w:lang w:val="en-US" w:eastAsia="zh-CN" w:bidi="ar-SA"/>
              </w:rPr>
            </w:pPr>
            <w:r>
              <w:rPr>
                <w:rFonts w:hint="eastAsia" w:ascii="仿宋_GB2312" w:hAnsi="仿宋_GB2312" w:eastAsia="仿宋_GB2312" w:cs="仿宋_GB2312"/>
                <w:bCs/>
                <w:snapToGrid w:val="0"/>
                <w:color w:val="000000"/>
                <w:kern w:val="0"/>
                <w:sz w:val="21"/>
                <w:szCs w:val="21"/>
                <w:lang w:val="en-US" w:eastAsia="zh-CN" w:bidi="ar-SA"/>
              </w:rPr>
              <w:t>陵川县民政局</w:t>
            </w:r>
          </w:p>
        </w:tc>
        <w:tc>
          <w:tcPr>
            <w:tcW w:w="1554" w:type="dxa"/>
            <w:vAlign w:val="center"/>
          </w:tcPr>
          <w:p>
            <w:pPr>
              <w:keepNext w:val="0"/>
              <w:keepLines w:val="0"/>
              <w:widowControl/>
              <w:suppressLineNumbers w:val="0"/>
              <w:jc w:val="center"/>
              <w:textAlignment w:val="center"/>
              <w:rPr>
                <w:rFonts w:hint="eastAsia" w:ascii="仿宋_GB2312" w:hAnsi="仿宋_GB2312" w:eastAsia="仿宋_GB2312" w:cs="仿宋_GB2312"/>
                <w:bCs/>
                <w:snapToGrid w:val="0"/>
                <w:color w:val="000000"/>
                <w:kern w:val="0"/>
                <w:sz w:val="21"/>
                <w:szCs w:val="21"/>
                <w:lang w:val="en-US" w:eastAsia="zh-CN" w:bidi="ar-SA"/>
              </w:rPr>
            </w:pPr>
            <w:r>
              <w:rPr>
                <w:rFonts w:hint="eastAsia" w:ascii="仿宋_GB2312" w:hAnsi="仿宋_GB2312" w:eastAsia="仿宋_GB2312" w:cs="仿宋_GB2312"/>
                <w:bCs/>
                <w:snapToGrid w:val="0"/>
                <w:color w:val="000000"/>
                <w:kern w:val="0"/>
                <w:sz w:val="21"/>
                <w:szCs w:val="21"/>
                <w:lang w:val="en-US" w:eastAsia="zh-CN" w:bidi="ar-SA"/>
              </w:rPr>
              <w:t>社救股</w:t>
            </w:r>
          </w:p>
        </w:tc>
        <w:tc>
          <w:tcPr>
            <w:tcW w:w="1084" w:type="dxa"/>
            <w:vAlign w:val="center"/>
          </w:tcPr>
          <w:p>
            <w:pPr>
              <w:pStyle w:val="17"/>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10</w:t>
            </w:r>
          </w:p>
        </w:tc>
        <w:tc>
          <w:tcPr>
            <w:tcW w:w="2057" w:type="dxa"/>
            <w:vAlign w:val="center"/>
          </w:tcPr>
          <w:p>
            <w:pPr>
              <w:keepNext w:val="0"/>
              <w:keepLines w:val="0"/>
              <w:widowControl/>
              <w:suppressLineNumbers w:val="0"/>
              <w:jc w:val="center"/>
              <w:textAlignment w:val="center"/>
              <w:rPr>
                <w:rFonts w:hint="eastAsia" w:ascii="仿宋_GB2312" w:hAnsi="仿宋_GB2312" w:eastAsia="仿宋_GB2312" w:cs="仿宋_GB2312"/>
                <w:bCs/>
                <w:snapToGrid w:val="0"/>
                <w:color w:val="000000"/>
                <w:kern w:val="0"/>
                <w:sz w:val="21"/>
                <w:szCs w:val="21"/>
                <w:lang w:val="en-US" w:eastAsia="zh-CN" w:bidi="ar-SA"/>
              </w:rPr>
            </w:pPr>
            <w:r>
              <w:rPr>
                <w:rFonts w:hint="eastAsia" w:ascii="仿宋_GB2312" w:hAnsi="仿宋_GB2312" w:eastAsia="仿宋_GB2312" w:cs="仿宋_GB2312"/>
                <w:bCs/>
                <w:snapToGrid w:val="0"/>
                <w:color w:val="000000"/>
                <w:kern w:val="0"/>
                <w:sz w:val="21"/>
                <w:szCs w:val="21"/>
                <w:lang w:val="en-US" w:eastAsia="zh-CN" w:bidi="ar-SA"/>
              </w:rPr>
              <w:t>对事实无人抚养儿童基本生活保障金的行政给付</w:t>
            </w:r>
          </w:p>
        </w:tc>
        <w:tc>
          <w:tcPr>
            <w:tcW w:w="1833" w:type="dxa"/>
            <w:vAlign w:val="center"/>
          </w:tcPr>
          <w:p>
            <w:pPr>
              <w:keepNext w:val="0"/>
              <w:keepLines w:val="0"/>
              <w:widowControl/>
              <w:suppressLineNumbers w:val="0"/>
              <w:jc w:val="center"/>
              <w:textAlignment w:val="center"/>
              <w:rPr>
                <w:rFonts w:hint="eastAsia" w:ascii="仿宋_GB2312" w:hAnsi="仿宋_GB2312" w:eastAsia="仿宋_GB2312" w:cs="仿宋_GB2312"/>
                <w:bCs/>
                <w:snapToGrid w:val="0"/>
                <w:color w:val="000000"/>
                <w:kern w:val="0"/>
                <w:sz w:val="21"/>
                <w:szCs w:val="21"/>
                <w:lang w:val="en-US" w:eastAsia="zh-CN" w:bidi="ar-SA"/>
              </w:rPr>
            </w:pPr>
            <w:r>
              <w:rPr>
                <w:rFonts w:hint="eastAsia" w:ascii="仿宋_GB2312" w:hAnsi="仿宋_GB2312" w:eastAsia="仿宋_GB2312" w:cs="仿宋_GB2312"/>
                <w:bCs/>
                <w:snapToGrid w:val="0"/>
                <w:color w:val="000000"/>
                <w:kern w:val="0"/>
                <w:sz w:val="21"/>
                <w:szCs w:val="21"/>
                <w:lang w:val="en-US" w:eastAsia="zh-CN" w:bidi="ar-SA"/>
              </w:rPr>
              <w:t>行政给付</w:t>
            </w:r>
          </w:p>
        </w:tc>
        <w:tc>
          <w:tcPr>
            <w:tcW w:w="5921" w:type="dxa"/>
            <w:vAlign w:val="center"/>
          </w:tcPr>
          <w:p>
            <w:pPr>
              <w:keepNext w:val="0"/>
              <w:keepLines w:val="0"/>
              <w:widowControl/>
              <w:suppressLineNumbers w:val="0"/>
              <w:ind w:firstLine="420"/>
              <w:jc w:val="left"/>
              <w:textAlignment w:val="center"/>
              <w:rPr>
                <w:rFonts w:hint="eastAsia" w:ascii="仿宋_GB2312" w:hAnsi="仿宋_GB2312" w:eastAsia="仿宋_GB2312" w:cs="仿宋_GB2312"/>
                <w:bCs/>
                <w:snapToGrid w:val="0"/>
                <w:color w:val="000000"/>
                <w:kern w:val="0"/>
                <w:sz w:val="21"/>
                <w:szCs w:val="21"/>
                <w:lang w:val="en-US" w:eastAsia="zh-CN" w:bidi="ar-SA"/>
              </w:rPr>
            </w:pPr>
          </w:p>
          <w:p>
            <w:pPr>
              <w:keepNext w:val="0"/>
              <w:keepLines w:val="0"/>
              <w:widowControl/>
              <w:suppressLineNumbers w:val="0"/>
              <w:ind w:firstLine="420"/>
              <w:jc w:val="left"/>
              <w:textAlignment w:val="center"/>
              <w:rPr>
                <w:rFonts w:hint="eastAsia" w:ascii="仿宋_GB2312" w:hAnsi="仿宋_GB2312" w:eastAsia="仿宋_GB2312" w:cs="仿宋_GB2312"/>
                <w:bCs/>
                <w:snapToGrid w:val="0"/>
                <w:color w:val="000000"/>
                <w:kern w:val="0"/>
                <w:sz w:val="21"/>
                <w:szCs w:val="21"/>
                <w:lang w:val="en-US" w:eastAsia="zh-CN" w:bidi="ar-SA"/>
              </w:rPr>
            </w:pPr>
            <w:r>
              <w:rPr>
                <w:rFonts w:hint="eastAsia" w:ascii="仿宋_GB2312" w:hAnsi="仿宋_GB2312" w:eastAsia="仿宋_GB2312" w:cs="仿宋_GB2312"/>
                <w:bCs/>
                <w:snapToGrid w:val="0"/>
                <w:color w:val="000000"/>
                <w:kern w:val="0"/>
                <w:sz w:val="21"/>
                <w:szCs w:val="21"/>
                <w:lang w:val="en-US" w:eastAsia="zh-CN" w:bidi="ar-SA"/>
              </w:rPr>
              <w:t>【规范性文件】《民政部关于进一步加强事实无人抚养儿童保障工作的意见》（民发〔2019〕62号，2019年6月18日印发）</w:t>
            </w:r>
          </w:p>
          <w:p>
            <w:pPr>
              <w:keepNext w:val="0"/>
              <w:keepLines w:val="0"/>
              <w:widowControl/>
              <w:numPr>
                <w:ilvl w:val="0"/>
                <w:numId w:val="1"/>
              </w:numPr>
              <w:suppressLineNumbers w:val="0"/>
              <w:ind w:firstLine="420"/>
              <w:jc w:val="left"/>
              <w:textAlignment w:val="center"/>
              <w:rPr>
                <w:rFonts w:hint="eastAsia" w:ascii="仿宋_GB2312" w:hAnsi="仿宋_GB2312" w:eastAsia="仿宋_GB2312" w:cs="仿宋_GB2312"/>
                <w:bCs/>
                <w:snapToGrid w:val="0"/>
                <w:color w:val="000000"/>
                <w:kern w:val="0"/>
                <w:sz w:val="21"/>
                <w:szCs w:val="21"/>
                <w:lang w:val="en-US" w:eastAsia="zh-CN" w:bidi="ar-SA"/>
              </w:rPr>
            </w:pPr>
            <w:r>
              <w:rPr>
                <w:rFonts w:hint="eastAsia" w:ascii="仿宋_GB2312" w:hAnsi="仿宋_GB2312" w:eastAsia="仿宋_GB2312" w:cs="仿宋_GB2312"/>
                <w:bCs/>
                <w:snapToGrid w:val="0"/>
                <w:color w:val="000000"/>
                <w:kern w:val="0"/>
                <w:sz w:val="21"/>
                <w:szCs w:val="21"/>
                <w:lang w:val="en-US" w:eastAsia="zh-CN" w:bidi="ar-SA"/>
              </w:rPr>
              <w:t>明确保障对象。事实无人抚养儿童是指父母双方均符合重残、重病、服刑在押、强制隔离戒毒、被执行其他限制人身自由的措施、失联情形之一的儿童；或者父母一方死亡或失踪，另一方符合重残、重病、服刑在押、强制隔离戒毒、被执行其他限制人身自由的措施、失联情形之一的儿童。以上重残是指一级二级残疾或三级四级精神、智力残疾；重病由各地根据当地大病、地方病等实际情况确定；失联是指失去联系且未履行监护抚养责任6个月以上；服刑在押、强制隔离戒毒或被执行其他限制人身自由的措施是指期限在6个月以上；死亡是指自然死亡或人民法院宣告死亡，失踪是指人民法院宣告失踪。</w:t>
            </w:r>
          </w:p>
          <w:p>
            <w:pPr>
              <w:keepNext w:val="0"/>
              <w:keepLines w:val="0"/>
              <w:widowControl/>
              <w:numPr>
                <w:ilvl w:val="0"/>
                <w:numId w:val="0"/>
              </w:numPr>
              <w:suppressLineNumbers w:val="0"/>
              <w:jc w:val="left"/>
              <w:textAlignment w:val="center"/>
              <w:rPr>
                <w:rFonts w:hint="eastAsia" w:ascii="仿宋_GB2312" w:hAnsi="仿宋_GB2312" w:eastAsia="仿宋_GB2312" w:cs="仿宋_GB2312"/>
                <w:bCs/>
                <w:snapToGrid w:val="0"/>
                <w:color w:val="000000"/>
                <w:kern w:val="0"/>
                <w:sz w:val="21"/>
                <w:szCs w:val="21"/>
                <w:lang w:val="en-US" w:eastAsia="zh-CN" w:bidi="ar-SA"/>
              </w:rPr>
            </w:pPr>
          </w:p>
        </w:tc>
        <w:tc>
          <w:tcPr>
            <w:tcW w:w="1296" w:type="dxa"/>
            <w:vAlign w:val="center"/>
          </w:tcPr>
          <w:p>
            <w:pPr>
              <w:keepNext w:val="0"/>
              <w:keepLines w:val="0"/>
              <w:widowControl/>
              <w:suppressLineNumbers w:val="0"/>
              <w:jc w:val="left"/>
              <w:textAlignment w:val="center"/>
              <w:rPr>
                <w:rFonts w:hint="eastAsia" w:ascii="仿宋_GB2312" w:hAnsi="仿宋_GB2312" w:eastAsia="仿宋_GB2312" w:cs="仿宋_GB2312"/>
                <w:bCs/>
                <w:snapToGrid w:val="0"/>
                <w:color w:val="000000"/>
                <w:kern w:val="0"/>
                <w:sz w:val="21"/>
                <w:szCs w:val="21"/>
                <w:lang w:val="en-US" w:eastAsia="zh-CN" w:bidi="ar-SA"/>
              </w:rPr>
            </w:pPr>
            <w:r>
              <w:rPr>
                <w:rFonts w:hint="eastAsia" w:ascii="仿宋_GB2312" w:hAnsi="仿宋_GB2312" w:eastAsia="仿宋_GB2312" w:cs="仿宋_GB2312"/>
                <w:bCs/>
                <w:snapToGrid w:val="0"/>
                <w:color w:val="000000"/>
                <w:kern w:val="0"/>
                <w:sz w:val="21"/>
                <w:szCs w:val="21"/>
                <w:lang w:val="en-US" w:eastAsia="zh-CN" w:bidi="ar-SA"/>
              </w:rPr>
              <w:t>陵川县民政局</w:t>
            </w:r>
          </w:p>
        </w:tc>
        <w:tc>
          <w:tcPr>
            <w:tcW w:w="1554" w:type="dxa"/>
            <w:vAlign w:val="center"/>
          </w:tcPr>
          <w:p>
            <w:pPr>
              <w:keepNext w:val="0"/>
              <w:keepLines w:val="0"/>
              <w:widowControl/>
              <w:suppressLineNumbers w:val="0"/>
              <w:jc w:val="center"/>
              <w:textAlignment w:val="center"/>
              <w:rPr>
                <w:rFonts w:hint="eastAsia" w:ascii="仿宋_GB2312" w:hAnsi="仿宋_GB2312" w:eastAsia="仿宋_GB2312" w:cs="仿宋_GB2312"/>
                <w:bCs/>
                <w:snapToGrid w:val="0"/>
                <w:color w:val="000000"/>
                <w:kern w:val="0"/>
                <w:sz w:val="21"/>
                <w:szCs w:val="21"/>
                <w:lang w:val="en-US" w:eastAsia="zh-CN" w:bidi="ar-SA"/>
              </w:rPr>
            </w:pPr>
            <w:r>
              <w:rPr>
                <w:rFonts w:hint="eastAsia" w:ascii="仿宋_GB2312" w:hAnsi="仿宋_GB2312" w:eastAsia="仿宋_GB2312" w:cs="仿宋_GB2312"/>
                <w:bCs/>
                <w:snapToGrid w:val="0"/>
                <w:color w:val="000000"/>
                <w:kern w:val="0"/>
                <w:sz w:val="21"/>
                <w:szCs w:val="21"/>
                <w:lang w:val="en-US" w:eastAsia="zh-CN" w:bidi="ar-SA"/>
              </w:rPr>
              <w:t>社救股</w:t>
            </w:r>
          </w:p>
        </w:tc>
        <w:tc>
          <w:tcPr>
            <w:tcW w:w="1084" w:type="dxa"/>
            <w:vAlign w:val="center"/>
          </w:tcPr>
          <w:p>
            <w:pPr>
              <w:pStyle w:val="17"/>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11</w:t>
            </w:r>
          </w:p>
        </w:tc>
        <w:tc>
          <w:tcPr>
            <w:tcW w:w="2057" w:type="dxa"/>
            <w:vAlign w:val="center"/>
          </w:tcPr>
          <w:p>
            <w:pPr>
              <w:keepNext w:val="0"/>
              <w:keepLines w:val="0"/>
              <w:widowControl/>
              <w:suppressLineNumbers w:val="0"/>
              <w:jc w:val="center"/>
              <w:textAlignment w:val="center"/>
              <w:rPr>
                <w:rFonts w:hint="eastAsia"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 xml:space="preserve">对收养登记的行政 </w:t>
            </w:r>
          </w:p>
          <w:p>
            <w:pPr>
              <w:keepNext w:val="0"/>
              <w:keepLines w:val="0"/>
              <w:widowControl/>
              <w:suppressLineNumbers w:val="0"/>
              <w:jc w:val="center"/>
              <w:textAlignment w:val="center"/>
              <w:rPr>
                <w:rFonts w:hint="eastAsia" w:ascii="仿宋_GB2312" w:hAnsi="仿宋_GB2312" w:eastAsia="仿宋_GB2312" w:cs="仿宋_GB2312"/>
                <w:bCs/>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确认</w:t>
            </w:r>
          </w:p>
        </w:tc>
        <w:tc>
          <w:tcPr>
            <w:tcW w:w="1833" w:type="dxa"/>
            <w:vAlign w:val="center"/>
          </w:tcPr>
          <w:p>
            <w:pPr>
              <w:keepNext w:val="0"/>
              <w:keepLines w:val="0"/>
              <w:widowControl/>
              <w:suppressLineNumbers w:val="0"/>
              <w:jc w:val="center"/>
              <w:textAlignment w:val="center"/>
              <w:rPr>
                <w:rFonts w:hint="eastAsia" w:ascii="仿宋_GB2312" w:hAnsi="仿宋_GB2312" w:eastAsia="仿宋_GB2312" w:cs="仿宋_GB2312"/>
                <w:bCs/>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行政确认</w:t>
            </w:r>
          </w:p>
        </w:tc>
        <w:tc>
          <w:tcPr>
            <w:tcW w:w="5921" w:type="dxa"/>
            <w:vAlign w:val="center"/>
          </w:tcPr>
          <w:p>
            <w:pPr>
              <w:keepNext w:val="0"/>
              <w:keepLines w:val="0"/>
              <w:widowControl/>
              <w:suppressLineNumbers w:val="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 xml:space="preserve">    </w:t>
            </w:r>
          </w:p>
          <w:p>
            <w:pPr>
              <w:keepNext w:val="0"/>
              <w:keepLines w:val="0"/>
              <w:widowControl/>
              <w:suppressLineNumbers w:val="0"/>
              <w:ind w:firstLine="420" w:firstLineChars="200"/>
              <w:jc w:val="left"/>
              <w:textAlignment w:val="center"/>
              <w:rPr>
                <w:rFonts w:hint="eastAsia" w:ascii="仿宋_GB2312" w:hAnsi="仿宋_GB2312" w:eastAsia="仿宋_GB2312" w:cs="仿宋_GB2312"/>
                <w:bCs/>
                <w:snapToGrid w:val="0"/>
                <w:color w:val="000000"/>
                <w:kern w:val="0"/>
                <w:sz w:val="21"/>
                <w:szCs w:val="21"/>
                <w:lang w:val="en-US" w:eastAsia="zh-CN" w:bidi="ar-SA"/>
              </w:rPr>
            </w:pPr>
            <w:r>
              <w:rPr>
                <w:rFonts w:hint="eastAsia" w:ascii="仿宋_GB2312" w:hAnsi="仿宋_GB2312" w:eastAsia="仿宋_GB2312" w:cs="仿宋_GB2312"/>
                <w:bCs/>
                <w:snapToGrid w:val="0"/>
                <w:color w:val="000000"/>
                <w:kern w:val="0"/>
                <w:sz w:val="21"/>
                <w:szCs w:val="21"/>
                <w:lang w:val="en-US" w:eastAsia="zh-CN" w:bidi="ar-SA"/>
              </w:rPr>
              <w:t xml:space="preserve">【法律】《中华人民共和国民法典》（2020年5月28日，十三届全国人大三次会议表决通过了《中华人民共和国民法典》，自2021年1月1日起施行。）  </w:t>
            </w:r>
          </w:p>
          <w:p>
            <w:pPr>
              <w:keepNext w:val="0"/>
              <w:keepLines w:val="0"/>
              <w:widowControl/>
              <w:suppressLineNumbers w:val="0"/>
              <w:ind w:firstLine="420" w:firstLineChars="200"/>
              <w:jc w:val="left"/>
              <w:textAlignment w:val="center"/>
              <w:rPr>
                <w:rFonts w:hint="eastAsia" w:ascii="仿宋_GB2312" w:hAnsi="仿宋_GB2312" w:eastAsia="仿宋_GB2312" w:cs="仿宋_GB2312"/>
                <w:bCs/>
                <w:snapToGrid w:val="0"/>
                <w:color w:val="000000"/>
                <w:kern w:val="0"/>
                <w:sz w:val="21"/>
                <w:szCs w:val="21"/>
                <w:lang w:val="en-US" w:eastAsia="zh-CN" w:bidi="ar-SA"/>
              </w:rPr>
            </w:pPr>
            <w:r>
              <w:rPr>
                <w:rFonts w:hint="eastAsia" w:ascii="仿宋_GB2312" w:hAnsi="仿宋_GB2312" w:eastAsia="仿宋_GB2312" w:cs="仿宋_GB2312"/>
                <w:bCs/>
                <w:snapToGrid w:val="0"/>
                <w:color w:val="000000"/>
                <w:kern w:val="0"/>
                <w:sz w:val="21"/>
                <w:szCs w:val="21"/>
                <w:lang w:val="en-US" w:eastAsia="zh-CN" w:bidi="ar-SA"/>
              </w:rPr>
              <w:t xml:space="preserve">第一千一百零五条  收养应当向县级以上人民政府民政部门登记。收养关系自登记之日起成立。  收养查找不到生父母的未成年人的，办理登记的民政部门应当在登记前予以公告。  收养关系当事人愿意签订收养协议的，可以签订收养协议。  收养关系当事人各方或者一方要求办理收养公证的，应当办理收养公证。  县级以上人民政府民政部门应当依法进行收养评估。 </w:t>
            </w:r>
            <w:r>
              <w:rPr>
                <w:rFonts w:hint="eastAsia" w:ascii="仿宋_GB2312" w:hAnsi="仿宋_GB2312" w:eastAsia="仿宋_GB2312" w:cs="仿宋_GB2312"/>
                <w:bCs/>
                <w:snapToGrid w:val="0"/>
                <w:color w:val="000000"/>
                <w:kern w:val="0"/>
                <w:sz w:val="21"/>
                <w:szCs w:val="21"/>
                <w:lang w:val="en-US" w:eastAsia="zh-CN" w:bidi="ar-SA"/>
              </w:rPr>
              <w:br w:type="textWrapping"/>
            </w:r>
            <w:r>
              <w:rPr>
                <w:rFonts w:hint="eastAsia" w:ascii="仿宋_GB2312" w:hAnsi="仿宋_GB2312" w:eastAsia="仿宋_GB2312" w:cs="仿宋_GB2312"/>
                <w:bCs/>
                <w:snapToGrid w:val="0"/>
                <w:color w:val="000000"/>
                <w:kern w:val="0"/>
                <w:sz w:val="21"/>
                <w:szCs w:val="21"/>
                <w:lang w:val="en-US" w:eastAsia="zh-CN" w:bidi="ar-SA"/>
              </w:rPr>
              <w:t xml:space="preserve">    第一千一百一十六条  当事人协议解除收养关系的，应当到民政部门办理解除收养关系登记。</w:t>
            </w:r>
            <w:r>
              <w:rPr>
                <w:rFonts w:hint="eastAsia" w:ascii="仿宋_GB2312" w:hAnsi="仿宋_GB2312" w:eastAsia="仿宋_GB2312" w:cs="仿宋_GB2312"/>
                <w:bCs/>
                <w:snapToGrid w:val="0"/>
                <w:color w:val="000000"/>
                <w:kern w:val="0"/>
                <w:sz w:val="21"/>
                <w:szCs w:val="21"/>
                <w:lang w:val="en-US" w:eastAsia="zh-CN" w:bidi="ar-SA"/>
              </w:rPr>
              <w:br w:type="textWrapping"/>
            </w:r>
            <w:r>
              <w:rPr>
                <w:rFonts w:hint="eastAsia" w:ascii="仿宋_GB2312" w:hAnsi="仿宋_GB2312" w:eastAsia="仿宋_GB2312" w:cs="仿宋_GB2312"/>
                <w:bCs/>
                <w:snapToGrid w:val="0"/>
                <w:color w:val="000000"/>
                <w:kern w:val="0"/>
                <w:sz w:val="21"/>
                <w:szCs w:val="21"/>
                <w:lang w:val="en-US" w:eastAsia="zh-CN" w:bidi="ar-SA"/>
              </w:rPr>
              <w:t xml:space="preserve">    【部门规章】《中国公民收养子女登记办法》（1999年5月12日经国务院批准，1999年5月25日民政部第14号令发布，2019年3月2日第一次修订，2023年7月20日第二次修订。）</w:t>
            </w:r>
          </w:p>
          <w:p>
            <w:pPr>
              <w:keepNext w:val="0"/>
              <w:keepLines w:val="0"/>
              <w:widowControl/>
              <w:suppressLineNumbers w:val="0"/>
              <w:ind w:firstLine="420" w:firstLineChars="200"/>
              <w:jc w:val="left"/>
              <w:textAlignment w:val="center"/>
              <w:rPr>
                <w:rFonts w:hint="eastAsia" w:ascii="仿宋_GB2312" w:hAnsi="仿宋_GB2312" w:eastAsia="仿宋_GB2312" w:cs="仿宋_GB2312"/>
                <w:bCs/>
                <w:snapToGrid w:val="0"/>
                <w:color w:val="000000"/>
                <w:kern w:val="0"/>
                <w:sz w:val="21"/>
                <w:szCs w:val="21"/>
                <w:lang w:val="en-US" w:eastAsia="zh-CN" w:bidi="ar-SA"/>
              </w:rPr>
            </w:pPr>
            <w:r>
              <w:rPr>
                <w:rFonts w:hint="eastAsia" w:ascii="仿宋_GB2312" w:hAnsi="仿宋_GB2312" w:eastAsia="仿宋_GB2312" w:cs="仿宋_GB2312"/>
                <w:bCs/>
                <w:snapToGrid w:val="0"/>
                <w:color w:val="000000"/>
                <w:kern w:val="0"/>
                <w:sz w:val="21"/>
                <w:szCs w:val="21"/>
                <w:lang w:val="en-US" w:eastAsia="zh-CN" w:bidi="ar-SA"/>
              </w:rPr>
              <w:t>第二条　中国公民在中国境内收养子女或者协议解除收养关系的，应当依照本办法的规定办理登记。</w:t>
            </w:r>
          </w:p>
          <w:p>
            <w:pPr>
              <w:keepNext w:val="0"/>
              <w:keepLines w:val="0"/>
              <w:widowControl/>
              <w:suppressLineNumbers w:val="0"/>
              <w:ind w:firstLine="420" w:firstLineChars="200"/>
              <w:jc w:val="left"/>
              <w:textAlignment w:val="center"/>
              <w:rPr>
                <w:rFonts w:hint="eastAsia" w:ascii="仿宋_GB2312" w:hAnsi="仿宋_GB2312" w:eastAsia="仿宋_GB2312" w:cs="仿宋_GB2312"/>
                <w:bCs/>
                <w:sz w:val="21"/>
                <w:szCs w:val="21"/>
              </w:rPr>
            </w:pPr>
            <w:r>
              <w:rPr>
                <w:rFonts w:hint="eastAsia" w:ascii="仿宋_GB2312" w:hAnsi="仿宋_GB2312" w:eastAsia="仿宋_GB2312" w:cs="仿宋_GB2312"/>
                <w:bCs/>
                <w:snapToGrid w:val="0"/>
                <w:color w:val="000000"/>
                <w:kern w:val="0"/>
                <w:sz w:val="21"/>
                <w:szCs w:val="21"/>
                <w:lang w:val="en-US" w:eastAsia="zh-CN" w:bidi="ar-SA"/>
              </w:rPr>
              <w:t>办理收养登记的机关是县级人民政府民政部门。</w:t>
            </w:r>
            <w:r>
              <w:rPr>
                <w:rFonts w:hint="eastAsia" w:ascii="仿宋_GB2312" w:hAnsi="仿宋_GB2312" w:eastAsia="仿宋_GB2312" w:cs="仿宋_GB2312"/>
                <w:bCs/>
                <w:snapToGrid w:val="0"/>
                <w:color w:val="000000"/>
                <w:kern w:val="0"/>
                <w:sz w:val="21"/>
                <w:szCs w:val="21"/>
                <w:lang w:val="en-US" w:eastAsia="zh-CN" w:bidi="ar-SA"/>
              </w:rPr>
              <w:br w:type="textWrapping"/>
            </w:r>
            <w:r>
              <w:rPr>
                <w:rFonts w:hint="eastAsia" w:ascii="仿宋_GB2312" w:hAnsi="仿宋_GB2312" w:eastAsia="仿宋_GB2312" w:cs="仿宋_GB2312"/>
                <w:bCs/>
                <w:snapToGrid w:val="0"/>
                <w:color w:val="000000"/>
                <w:kern w:val="0"/>
                <w:sz w:val="21"/>
                <w:szCs w:val="21"/>
                <w:lang w:val="en-US" w:eastAsia="zh-CN" w:bidi="ar-SA"/>
              </w:rPr>
              <w:t xml:space="preserve">    </w:t>
            </w:r>
          </w:p>
        </w:tc>
        <w:tc>
          <w:tcPr>
            <w:tcW w:w="1296" w:type="dxa"/>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陵川县民政局</w:t>
            </w:r>
          </w:p>
        </w:tc>
        <w:tc>
          <w:tcPr>
            <w:tcW w:w="1554" w:type="dxa"/>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社救股</w:t>
            </w:r>
          </w:p>
        </w:tc>
        <w:tc>
          <w:tcPr>
            <w:tcW w:w="1084" w:type="dxa"/>
            <w:vAlign w:val="center"/>
          </w:tcPr>
          <w:p>
            <w:pPr>
              <w:pStyle w:val="17"/>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1" w:hRule="atLeast"/>
        </w:trPr>
        <w:tc>
          <w:tcPr>
            <w:tcW w:w="929" w:type="dxa"/>
            <w:vAlign w:val="center"/>
          </w:tcPr>
          <w:p>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12</w:t>
            </w:r>
          </w:p>
        </w:tc>
        <w:tc>
          <w:tcPr>
            <w:tcW w:w="2057" w:type="dxa"/>
            <w:vAlign w:val="center"/>
          </w:tcPr>
          <w:p>
            <w:pPr>
              <w:keepNext w:val="0"/>
              <w:keepLines w:val="0"/>
              <w:widowControl/>
              <w:suppressLineNumbers w:val="0"/>
              <w:jc w:val="center"/>
              <w:textAlignment w:val="center"/>
              <w:rPr>
                <w:rFonts w:hint="eastAsia" w:ascii="仿宋_GB2312" w:hAnsi="仿宋_GB2312" w:eastAsia="仿宋_GB2312" w:cs="仿宋_GB2312"/>
                <w:bCs/>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对撤销中国公民收养登记的行政确认</w:t>
            </w:r>
          </w:p>
        </w:tc>
        <w:tc>
          <w:tcPr>
            <w:tcW w:w="1833" w:type="dxa"/>
            <w:vAlign w:val="center"/>
          </w:tcPr>
          <w:p>
            <w:pPr>
              <w:keepNext w:val="0"/>
              <w:keepLines w:val="0"/>
              <w:widowControl/>
              <w:suppressLineNumbers w:val="0"/>
              <w:jc w:val="center"/>
              <w:textAlignment w:val="center"/>
              <w:rPr>
                <w:rFonts w:hint="eastAsia" w:ascii="仿宋_GB2312" w:hAnsi="仿宋_GB2312" w:eastAsia="仿宋_GB2312" w:cs="仿宋_GB2312"/>
                <w:bCs/>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行政确认</w:t>
            </w:r>
          </w:p>
        </w:tc>
        <w:tc>
          <w:tcPr>
            <w:tcW w:w="5921" w:type="dxa"/>
            <w:vAlign w:val="center"/>
          </w:tcPr>
          <w:p>
            <w:pPr>
              <w:keepNext w:val="0"/>
              <w:keepLines w:val="0"/>
              <w:widowControl/>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【部门规章】《中国公民收养子女登记办法》（1999年5月12日经国务院批准，1999年5月25日民政部第14号令发布，2019年3月2日第一次修订，2023年7月20日第二次修订。）</w:t>
            </w:r>
          </w:p>
          <w:p>
            <w:pPr>
              <w:keepNext w:val="0"/>
              <w:keepLines w:val="0"/>
              <w:widowControl/>
              <w:suppressLineNumbers w:val="0"/>
              <w:ind w:firstLine="420" w:firstLineChars="200"/>
              <w:jc w:val="left"/>
              <w:textAlignment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第十条　收养关系当事人协议解除收养关系的，应当持居民户口簿、居民身份证、收养登记证和解除收养关系的书面协议，共同到被收养人常住户口所在地的收养登记机关办理解除收养关系登记。</w:t>
            </w:r>
          </w:p>
          <w:p>
            <w:pPr>
              <w:keepNext w:val="0"/>
              <w:keepLines w:val="0"/>
              <w:widowControl/>
              <w:suppressLineNumbers w:val="0"/>
              <w:ind w:firstLine="420" w:firstLineChars="200"/>
              <w:jc w:val="left"/>
              <w:textAlignment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第十一条　收养登记机关收到解除收养关系登记申请书及有关材料后，应当自次日起30日内进行审查；对符合民法典规定的，为当事人办理解除收养关系的登记，收回收养登记证，发给解除收养关系证明。</w:t>
            </w:r>
          </w:p>
          <w:p>
            <w:pPr>
              <w:keepNext w:val="0"/>
              <w:keepLines w:val="0"/>
              <w:widowControl/>
              <w:suppressLineNumbers w:val="0"/>
              <w:ind w:firstLine="420" w:firstLineChars="200"/>
              <w:jc w:val="left"/>
              <w:textAlignment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第十二条　为收养关系当事人出具证明材料的组织，应当如实出具有关证明材料。出具虚假证明材料的，由收养登记机关没收虚假证明材料，并建议有关组织对直接责任人员给予批评教育，或者依法给予行政处分、纪律处分。</w:t>
            </w:r>
          </w:p>
          <w:p>
            <w:pPr>
              <w:keepNext w:val="0"/>
              <w:keepLines w:val="0"/>
              <w:widowControl/>
              <w:suppressLineNumbers w:val="0"/>
              <w:ind w:firstLine="420" w:firstLineChars="200"/>
              <w:jc w:val="left"/>
              <w:textAlignment w:val="center"/>
              <w:rPr>
                <w:rFonts w:hint="eastAsia" w:ascii="仿宋_GB2312" w:hAnsi="仿宋_GB2312" w:eastAsia="仿宋_GB2312" w:cs="仿宋_GB2312"/>
                <w:bCs/>
                <w:sz w:val="21"/>
                <w:szCs w:val="21"/>
              </w:rPr>
            </w:pPr>
          </w:p>
        </w:tc>
        <w:tc>
          <w:tcPr>
            <w:tcW w:w="1296" w:type="dxa"/>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陵川县民政局</w:t>
            </w:r>
          </w:p>
        </w:tc>
        <w:tc>
          <w:tcPr>
            <w:tcW w:w="1554" w:type="dxa"/>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社救股</w:t>
            </w:r>
          </w:p>
        </w:tc>
        <w:tc>
          <w:tcPr>
            <w:tcW w:w="1084" w:type="dxa"/>
            <w:vAlign w:val="center"/>
          </w:tcPr>
          <w:p>
            <w:pPr>
              <w:pStyle w:val="17"/>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16" w:hRule="atLeast"/>
        </w:trPr>
        <w:tc>
          <w:tcPr>
            <w:tcW w:w="929" w:type="dxa"/>
            <w:vAlign w:val="center"/>
          </w:tcPr>
          <w:p>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13</w:t>
            </w:r>
          </w:p>
        </w:tc>
        <w:tc>
          <w:tcPr>
            <w:tcW w:w="2057" w:type="dxa"/>
            <w:vAlign w:val="center"/>
          </w:tcPr>
          <w:p>
            <w:pPr>
              <w:keepNext w:val="0"/>
              <w:keepLines w:val="0"/>
              <w:widowControl/>
              <w:suppressLineNumbers w:val="0"/>
              <w:jc w:val="center"/>
              <w:textAlignment w:val="center"/>
              <w:rPr>
                <w:rFonts w:hint="eastAsia" w:ascii="仿宋_GB2312" w:hAnsi="仿宋_GB2312" w:eastAsia="仿宋_GB2312" w:cs="仿宋_GB2312"/>
                <w:bCs/>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对居住在中国内地的中国公民在内地收养登记、解除收养关系登记的行政确认</w:t>
            </w:r>
          </w:p>
        </w:tc>
        <w:tc>
          <w:tcPr>
            <w:tcW w:w="1833" w:type="dxa"/>
            <w:vAlign w:val="center"/>
          </w:tcPr>
          <w:p>
            <w:pPr>
              <w:keepNext w:val="0"/>
              <w:keepLines w:val="0"/>
              <w:widowControl/>
              <w:suppressLineNumbers w:val="0"/>
              <w:jc w:val="center"/>
              <w:textAlignment w:val="center"/>
              <w:rPr>
                <w:rFonts w:hint="eastAsia" w:ascii="仿宋_GB2312" w:hAnsi="仿宋_GB2312" w:eastAsia="仿宋_GB2312" w:cs="仿宋_GB2312"/>
                <w:bCs/>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行政确认</w:t>
            </w:r>
          </w:p>
        </w:tc>
        <w:tc>
          <w:tcPr>
            <w:tcW w:w="5921" w:type="dxa"/>
            <w:vAlign w:val="center"/>
          </w:tcPr>
          <w:p>
            <w:pPr>
              <w:keepNext w:val="0"/>
              <w:keepLines w:val="0"/>
              <w:widowControl/>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【部门规章】《中国公民收养子女登记办法》（1999年5月25日民政部令第14号发布施行;</w:t>
            </w:r>
            <w:r>
              <w:rPr>
                <w:rFonts w:hint="eastAsia" w:ascii="仿宋_GB2312" w:hAnsi="仿宋_GB2312" w:eastAsia="仿宋_GB2312" w:cs="仿宋_GB2312"/>
                <w:bCs/>
                <w:snapToGrid w:val="0"/>
                <w:color w:val="000000"/>
                <w:kern w:val="0"/>
                <w:sz w:val="21"/>
                <w:szCs w:val="21"/>
                <w:lang w:val="en-US" w:eastAsia="zh-CN" w:bidi="ar-SA"/>
              </w:rPr>
              <w:t>2019年3月2日第一次修订，2023年7月20日第二次修订。）</w:t>
            </w:r>
            <w:r>
              <w:rPr>
                <w:rFonts w:hint="eastAsia" w:ascii="仿宋_GB2312" w:hAnsi="仿宋_GB2312" w:eastAsia="仿宋_GB2312" w:cs="仿宋_GB2312"/>
                <w:i w:val="0"/>
                <w:snapToGrid w:val="0"/>
                <w:color w:val="000000"/>
                <w:kern w:val="0"/>
                <w:sz w:val="21"/>
                <w:szCs w:val="21"/>
                <w:u w:val="none"/>
                <w:lang w:val="en-US" w:eastAsia="zh-CN" w:bidi="ar"/>
              </w:rPr>
              <w:br w:type="textWrapping"/>
            </w:r>
            <w:r>
              <w:rPr>
                <w:rFonts w:hint="eastAsia" w:ascii="仿宋_GB2312" w:hAnsi="仿宋_GB2312" w:eastAsia="仿宋_GB2312" w:cs="仿宋_GB2312"/>
                <w:i w:val="0"/>
                <w:snapToGrid w:val="0"/>
                <w:color w:val="000000"/>
                <w:kern w:val="0"/>
                <w:sz w:val="21"/>
                <w:szCs w:val="21"/>
                <w:u w:val="none"/>
                <w:lang w:val="en-US" w:eastAsia="zh-CN" w:bidi="ar"/>
              </w:rPr>
              <w:t xml:space="preserve">    第二条　中国公民在中国境内收养子女或者协议解除收养关系的，应当依照本办法的规定办理登记。</w:t>
            </w: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办理收养登记的机关是县级人民政府民政部门。</w:t>
            </w:r>
          </w:p>
          <w:p>
            <w:pPr>
              <w:keepNext w:val="0"/>
              <w:keepLines w:val="0"/>
              <w:widowControl/>
              <w:suppressLineNumbers w:val="0"/>
              <w:ind w:firstLine="420" w:firstLineChars="200"/>
              <w:jc w:val="left"/>
              <w:textAlignment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第十条　收养关系当事人协议解除收养关系的，应当持居民户口簿、居民身份证、收养登记证和解除收养关系的书面协议，共同到被收养人常住户口所在地的收养登记机关办理解除收养关系登记。</w:t>
            </w:r>
          </w:p>
          <w:p>
            <w:pPr>
              <w:keepNext w:val="0"/>
              <w:keepLines w:val="0"/>
              <w:widowControl/>
              <w:suppressLineNumbers w:val="0"/>
              <w:ind w:firstLine="420" w:firstLineChars="200"/>
              <w:jc w:val="left"/>
              <w:textAlignment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第十一条　收养登记机关收到解除收养关系登记申请书及有关材料后，应当自次日起30日内进行审查；对符合民法典规定的，为当事人办理解除收养关系的登记，收回收养登记证，发给解除收养关系证明。</w:t>
            </w:r>
          </w:p>
          <w:p>
            <w:pPr>
              <w:keepNext w:val="0"/>
              <w:keepLines w:val="0"/>
              <w:widowControl/>
              <w:suppressLineNumbers w:val="0"/>
              <w:ind w:firstLine="420" w:firstLineChars="200"/>
              <w:jc w:val="left"/>
              <w:textAlignment w:val="center"/>
              <w:rPr>
                <w:rFonts w:hint="eastAsia" w:ascii="仿宋_GB2312" w:hAnsi="仿宋_GB2312" w:eastAsia="仿宋_GB2312" w:cs="仿宋_GB2312"/>
                <w:bCs/>
                <w:sz w:val="21"/>
                <w:szCs w:val="21"/>
              </w:rPr>
            </w:pPr>
          </w:p>
        </w:tc>
        <w:tc>
          <w:tcPr>
            <w:tcW w:w="1296" w:type="dxa"/>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陵川县民政局</w:t>
            </w:r>
          </w:p>
        </w:tc>
        <w:tc>
          <w:tcPr>
            <w:tcW w:w="1554" w:type="dxa"/>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社救股</w:t>
            </w:r>
          </w:p>
        </w:tc>
        <w:tc>
          <w:tcPr>
            <w:tcW w:w="1084" w:type="dxa"/>
            <w:vAlign w:val="center"/>
          </w:tcPr>
          <w:p>
            <w:pPr>
              <w:pStyle w:val="17"/>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14</w:t>
            </w:r>
          </w:p>
        </w:tc>
        <w:tc>
          <w:tcPr>
            <w:tcW w:w="2057" w:type="dxa"/>
            <w:vAlign w:val="center"/>
          </w:tcPr>
          <w:p>
            <w:pPr>
              <w:keepNext w:val="0"/>
              <w:keepLines w:val="0"/>
              <w:widowControl/>
              <w:suppressLineNumbers w:val="0"/>
              <w:jc w:val="center"/>
              <w:textAlignment w:val="center"/>
              <w:rPr>
                <w:rFonts w:hint="eastAsia" w:ascii="仿宋_GB2312" w:hAnsi="仿宋_GB2312" w:eastAsia="仿宋_GB2312" w:cs="仿宋_GB2312"/>
                <w:bCs/>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对内地居民婚姻登记的行政确认</w:t>
            </w:r>
          </w:p>
        </w:tc>
        <w:tc>
          <w:tcPr>
            <w:tcW w:w="1833" w:type="dxa"/>
            <w:vAlign w:val="center"/>
          </w:tcPr>
          <w:p>
            <w:pPr>
              <w:keepNext w:val="0"/>
              <w:keepLines w:val="0"/>
              <w:widowControl/>
              <w:suppressLineNumbers w:val="0"/>
              <w:jc w:val="center"/>
              <w:textAlignment w:val="center"/>
              <w:rPr>
                <w:rFonts w:hint="eastAsia" w:ascii="仿宋_GB2312" w:hAnsi="仿宋_GB2312" w:eastAsia="仿宋_GB2312" w:cs="仿宋_GB2312"/>
                <w:bCs/>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行政确认</w:t>
            </w:r>
          </w:p>
        </w:tc>
        <w:tc>
          <w:tcPr>
            <w:tcW w:w="5921" w:type="dxa"/>
            <w:vAlign w:val="center"/>
          </w:tcPr>
          <w:p>
            <w:pPr>
              <w:keepNext w:val="0"/>
              <w:keepLines w:val="0"/>
              <w:widowControl/>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iCs w:val="0"/>
                <w:caps w:val="0"/>
                <w:color w:val="333333"/>
                <w:spacing w:val="0"/>
                <w:sz w:val="21"/>
                <w:szCs w:val="21"/>
                <w:shd w:val="clear" w:fill="FFFFFF"/>
              </w:rPr>
            </w:pPr>
            <w:r>
              <w:rPr>
                <w:rFonts w:hint="eastAsia" w:ascii="仿宋_GB2312" w:hAnsi="仿宋_GB2312" w:eastAsia="仿宋_GB2312" w:cs="仿宋_GB2312"/>
                <w:i w:val="0"/>
                <w:snapToGrid w:val="0"/>
                <w:color w:val="000000"/>
                <w:kern w:val="0"/>
                <w:sz w:val="21"/>
                <w:szCs w:val="21"/>
                <w:u w:val="none"/>
                <w:lang w:val="en-US" w:eastAsia="zh-CN" w:bidi="ar"/>
              </w:rPr>
              <w:t>【法律】《中华人民共和国民法典》</w:t>
            </w:r>
            <w:r>
              <w:rPr>
                <w:rFonts w:hint="eastAsia" w:ascii="仿宋_GB2312" w:hAnsi="仿宋_GB2312" w:eastAsia="仿宋_GB2312" w:cs="仿宋_GB2312"/>
                <w:bCs/>
                <w:snapToGrid w:val="0"/>
                <w:color w:val="000000"/>
                <w:kern w:val="0"/>
                <w:sz w:val="21"/>
                <w:szCs w:val="21"/>
                <w:lang w:val="en-US" w:eastAsia="zh-CN" w:bidi="ar-SA"/>
              </w:rPr>
              <w:t>（2020年5月28日，十三届全国人大三次会议表决通过了《中华人民共和国民法典》，自2021年1月1日起施行。）</w:t>
            </w:r>
            <w:r>
              <w:rPr>
                <w:rFonts w:hint="eastAsia" w:ascii="仿宋_GB2312" w:hAnsi="仿宋_GB2312" w:eastAsia="仿宋_GB2312" w:cs="仿宋_GB2312"/>
                <w:i w:val="0"/>
                <w:snapToGrid w:val="0"/>
                <w:color w:val="000000"/>
                <w:kern w:val="0"/>
                <w:sz w:val="21"/>
                <w:szCs w:val="21"/>
                <w:u w:val="none"/>
                <w:lang w:val="en-US" w:eastAsia="zh-CN" w:bidi="ar"/>
              </w:rPr>
              <w:t xml:space="preserve"> </w:t>
            </w:r>
            <w:r>
              <w:rPr>
                <w:rFonts w:hint="eastAsia" w:ascii="仿宋_GB2312" w:hAnsi="仿宋_GB2312" w:eastAsia="仿宋_GB2312" w:cs="仿宋_GB2312"/>
                <w:i w:val="0"/>
                <w:snapToGrid w:val="0"/>
                <w:color w:val="000000"/>
                <w:kern w:val="0"/>
                <w:sz w:val="21"/>
                <w:szCs w:val="21"/>
                <w:u w:val="none"/>
                <w:lang w:val="en-US" w:eastAsia="zh-CN" w:bidi="ar"/>
              </w:rPr>
              <w:br w:type="textWrapping"/>
            </w:r>
            <w:r>
              <w:rPr>
                <w:rFonts w:hint="eastAsia" w:ascii="仿宋_GB2312" w:hAnsi="仿宋_GB2312" w:eastAsia="仿宋_GB2312" w:cs="仿宋_GB2312"/>
                <w:i w:val="0"/>
                <w:snapToGrid w:val="0"/>
                <w:color w:val="000000"/>
                <w:kern w:val="0"/>
                <w:sz w:val="21"/>
                <w:szCs w:val="21"/>
                <w:u w:val="none"/>
                <w:lang w:val="en-US" w:eastAsia="zh-CN" w:bidi="ar"/>
              </w:rPr>
              <w:t xml:space="preserve">    </w:t>
            </w:r>
            <w:r>
              <w:rPr>
                <w:rFonts w:hint="eastAsia" w:ascii="仿宋_GB2312" w:hAnsi="仿宋_GB2312" w:eastAsia="仿宋_GB2312" w:cs="仿宋_GB2312"/>
                <w:i w:val="0"/>
                <w:iCs w:val="0"/>
                <w:caps w:val="0"/>
                <w:color w:val="333333"/>
                <w:spacing w:val="0"/>
                <w:sz w:val="21"/>
                <w:szCs w:val="21"/>
                <w:shd w:val="clear" w:fill="FFFFFF"/>
              </w:rPr>
              <w:t>第一千零四十九条</w:t>
            </w:r>
            <w:r>
              <w:rPr>
                <w:rFonts w:hint="eastAsia" w:ascii="仿宋_GB2312" w:hAnsi="仿宋_GB2312" w:eastAsia="仿宋_GB2312" w:cs="仿宋_GB2312"/>
                <w:i w:val="0"/>
                <w:iCs w:val="0"/>
                <w:caps w:val="0"/>
                <w:color w:val="333333"/>
                <w:spacing w:val="0"/>
                <w:sz w:val="21"/>
                <w:szCs w:val="21"/>
                <w:shd w:val="clear" w:fill="FFFFFF"/>
                <w:lang w:val="en-US" w:eastAsia="zh-CN"/>
              </w:rPr>
              <w:t xml:space="preserve">  </w:t>
            </w:r>
            <w:r>
              <w:rPr>
                <w:rFonts w:hint="eastAsia" w:ascii="仿宋_GB2312" w:hAnsi="仿宋_GB2312" w:eastAsia="仿宋_GB2312" w:cs="仿宋_GB2312"/>
                <w:i w:val="0"/>
                <w:iCs w:val="0"/>
                <w:caps w:val="0"/>
                <w:color w:val="333333"/>
                <w:spacing w:val="0"/>
                <w:sz w:val="21"/>
                <w:szCs w:val="21"/>
                <w:shd w:val="clear" w:fill="FFFFFF"/>
              </w:rPr>
              <w:t>要求结婚的男女双方应当亲自到婚姻登记机关申请结婚登记。符合本法规定的，予以登记，发给结婚证。完成结婚登记，即确立婚姻关系。未办理结婚登记的，应当补办登记。</w:t>
            </w: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iCs w:val="0"/>
                <w:caps w:val="0"/>
                <w:color w:val="333333"/>
                <w:spacing w:val="0"/>
                <w:sz w:val="21"/>
                <w:szCs w:val="21"/>
                <w:shd w:val="clear" w:fill="FFFFFF"/>
                <w:lang w:val="en-US" w:eastAsia="zh-CN"/>
              </w:rPr>
            </w:pPr>
            <w:r>
              <w:rPr>
                <w:rFonts w:hint="eastAsia" w:ascii="仿宋_GB2312" w:hAnsi="仿宋_GB2312" w:eastAsia="仿宋_GB2312" w:cs="仿宋_GB2312"/>
                <w:i w:val="0"/>
                <w:iCs w:val="0"/>
                <w:caps w:val="0"/>
                <w:color w:val="333333"/>
                <w:spacing w:val="0"/>
                <w:sz w:val="21"/>
                <w:szCs w:val="21"/>
                <w:shd w:val="clear" w:fill="FFFFFF"/>
                <w:lang w:val="en-US" w:eastAsia="zh-CN"/>
              </w:rPr>
              <w:t>【规范性文件】《婚姻登记工作暂行规范》（</w:t>
            </w:r>
            <w:r>
              <w:rPr>
                <w:rFonts w:hint="eastAsia" w:ascii="仿宋_GB2312" w:hAnsi="仿宋_GB2312" w:eastAsia="仿宋_GB2312" w:cs="仿宋_GB2312"/>
                <w:i w:val="0"/>
                <w:iCs w:val="0"/>
                <w:caps w:val="0"/>
                <w:color w:val="333333"/>
                <w:spacing w:val="0"/>
                <w:sz w:val="21"/>
                <w:szCs w:val="21"/>
                <w:shd w:val="clear" w:fill="FFFFFF"/>
              </w:rPr>
              <w:t>民发〔2015〕230号</w:t>
            </w:r>
            <w:r>
              <w:rPr>
                <w:rFonts w:hint="eastAsia" w:ascii="仿宋_GB2312" w:hAnsi="仿宋_GB2312" w:eastAsia="仿宋_GB2312" w:cs="仿宋_GB2312"/>
                <w:i w:val="0"/>
                <w:iCs w:val="0"/>
                <w:caps w:val="0"/>
                <w:color w:val="333333"/>
                <w:spacing w:val="0"/>
                <w:sz w:val="21"/>
                <w:szCs w:val="21"/>
                <w:shd w:val="clear" w:fill="FFFFFF"/>
                <w:lang w:eastAsia="zh-CN"/>
              </w:rPr>
              <w:t>，2016年2月1日起实施。</w:t>
            </w:r>
            <w:r>
              <w:rPr>
                <w:rFonts w:hint="eastAsia" w:ascii="仿宋_GB2312" w:hAnsi="仿宋_GB2312" w:eastAsia="仿宋_GB2312" w:cs="仿宋_GB2312"/>
                <w:i w:val="0"/>
                <w:iCs w:val="0"/>
                <w:caps w:val="0"/>
                <w:color w:val="333333"/>
                <w:spacing w:val="0"/>
                <w:sz w:val="21"/>
                <w:szCs w:val="21"/>
                <w:shd w:val="clear" w:fill="FFFFFF"/>
                <w:lang w:val="en-US" w:eastAsia="zh-CN"/>
              </w:rPr>
              <w:t>）</w:t>
            </w:r>
            <w:r>
              <w:rPr>
                <w:rFonts w:hint="eastAsia" w:ascii="仿宋_GB2312" w:hAnsi="仿宋_GB2312" w:eastAsia="仿宋_GB2312" w:cs="仿宋_GB2312"/>
                <w:i w:val="0"/>
                <w:iCs w:val="0"/>
                <w:caps w:val="0"/>
                <w:color w:val="333333"/>
                <w:spacing w:val="0"/>
                <w:sz w:val="21"/>
                <w:szCs w:val="21"/>
                <w:shd w:val="clear" w:fill="FFFFFF"/>
                <w:lang w:val="en-US" w:eastAsia="zh-CN"/>
              </w:rPr>
              <w:br w:type="textWrapping"/>
            </w:r>
            <w:r>
              <w:rPr>
                <w:rFonts w:hint="eastAsia" w:ascii="仿宋_GB2312" w:hAnsi="仿宋_GB2312" w:eastAsia="仿宋_GB2312" w:cs="仿宋_GB2312"/>
                <w:i w:val="0"/>
                <w:iCs w:val="0"/>
                <w:caps w:val="0"/>
                <w:color w:val="333333"/>
                <w:spacing w:val="0"/>
                <w:sz w:val="21"/>
                <w:szCs w:val="21"/>
                <w:shd w:val="clear" w:fill="FFFFFF"/>
                <w:lang w:val="en-US" w:eastAsia="zh-CN"/>
              </w:rPr>
              <w:t>　  第二十八条　受理结婚登记申请的条件是：</w:t>
            </w: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iCs w:val="0"/>
                <w:caps w:val="0"/>
                <w:color w:val="333333"/>
                <w:spacing w:val="0"/>
                <w:sz w:val="21"/>
                <w:szCs w:val="21"/>
                <w:shd w:val="clear" w:fill="FFFFFF"/>
                <w:lang w:val="en-US" w:eastAsia="zh-CN"/>
              </w:rPr>
            </w:pPr>
            <w:r>
              <w:rPr>
                <w:rFonts w:hint="eastAsia" w:ascii="仿宋_GB2312" w:hAnsi="仿宋_GB2312" w:eastAsia="仿宋_GB2312" w:cs="仿宋_GB2312"/>
                <w:i w:val="0"/>
                <w:iCs w:val="0"/>
                <w:caps w:val="0"/>
                <w:color w:val="333333"/>
                <w:spacing w:val="0"/>
                <w:sz w:val="21"/>
                <w:szCs w:val="21"/>
                <w:shd w:val="clear" w:fill="FFFFFF"/>
                <w:lang w:val="en-US" w:eastAsia="zh-CN"/>
              </w:rPr>
              <w:t>（一）婚姻登记处具有管辖权；</w:t>
            </w: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iCs w:val="0"/>
                <w:caps w:val="0"/>
                <w:color w:val="333333"/>
                <w:spacing w:val="0"/>
                <w:sz w:val="21"/>
                <w:szCs w:val="21"/>
                <w:shd w:val="clear" w:fill="FFFFFF"/>
                <w:lang w:val="en-US" w:eastAsia="zh-CN"/>
              </w:rPr>
            </w:pPr>
            <w:r>
              <w:rPr>
                <w:rFonts w:hint="eastAsia" w:ascii="仿宋_GB2312" w:hAnsi="仿宋_GB2312" w:eastAsia="仿宋_GB2312" w:cs="仿宋_GB2312"/>
                <w:i w:val="0"/>
                <w:iCs w:val="0"/>
                <w:caps w:val="0"/>
                <w:color w:val="333333"/>
                <w:spacing w:val="0"/>
                <w:sz w:val="21"/>
                <w:szCs w:val="21"/>
                <w:shd w:val="clear" w:fill="FFFFFF"/>
                <w:lang w:val="en-US" w:eastAsia="zh-CN"/>
              </w:rPr>
              <w:t>（二）要求结婚的男女双方共同到婚姻登记处提出申请；</w:t>
            </w: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iCs w:val="0"/>
                <w:caps w:val="0"/>
                <w:color w:val="333333"/>
                <w:spacing w:val="0"/>
                <w:sz w:val="21"/>
                <w:szCs w:val="21"/>
                <w:shd w:val="clear" w:fill="FFFFFF"/>
                <w:lang w:val="en-US" w:eastAsia="zh-CN"/>
              </w:rPr>
            </w:pPr>
            <w:r>
              <w:rPr>
                <w:rFonts w:hint="eastAsia" w:ascii="仿宋_GB2312" w:hAnsi="仿宋_GB2312" w:eastAsia="仿宋_GB2312" w:cs="仿宋_GB2312"/>
                <w:i w:val="0"/>
                <w:iCs w:val="0"/>
                <w:caps w:val="0"/>
                <w:color w:val="333333"/>
                <w:spacing w:val="0"/>
                <w:sz w:val="21"/>
                <w:szCs w:val="21"/>
                <w:shd w:val="clear" w:fill="FFFFFF"/>
                <w:lang w:val="en-US" w:eastAsia="zh-CN"/>
              </w:rPr>
              <w:t>（三）当事人男年满22周岁，女年满20周岁；</w:t>
            </w: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iCs w:val="0"/>
                <w:caps w:val="0"/>
                <w:color w:val="333333"/>
                <w:spacing w:val="0"/>
                <w:sz w:val="21"/>
                <w:szCs w:val="21"/>
                <w:shd w:val="clear" w:fill="FFFFFF"/>
                <w:lang w:val="en-US" w:eastAsia="zh-CN"/>
              </w:rPr>
            </w:pPr>
            <w:r>
              <w:rPr>
                <w:rFonts w:hint="eastAsia" w:ascii="仿宋_GB2312" w:hAnsi="仿宋_GB2312" w:eastAsia="仿宋_GB2312" w:cs="仿宋_GB2312"/>
                <w:i w:val="0"/>
                <w:iCs w:val="0"/>
                <w:caps w:val="0"/>
                <w:color w:val="333333"/>
                <w:spacing w:val="0"/>
                <w:sz w:val="21"/>
                <w:szCs w:val="21"/>
                <w:shd w:val="clear" w:fill="FFFFFF"/>
                <w:lang w:val="en-US" w:eastAsia="zh-CN"/>
              </w:rPr>
              <w:t>（四）当事人双方均无配偶（未婚、离婚、丧偶）；</w:t>
            </w: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iCs w:val="0"/>
                <w:caps w:val="0"/>
                <w:color w:val="333333"/>
                <w:spacing w:val="0"/>
                <w:sz w:val="21"/>
                <w:szCs w:val="21"/>
                <w:shd w:val="clear" w:fill="FFFFFF"/>
                <w:lang w:val="en-US" w:eastAsia="zh-CN"/>
              </w:rPr>
            </w:pPr>
            <w:r>
              <w:rPr>
                <w:rFonts w:hint="eastAsia" w:ascii="仿宋_GB2312" w:hAnsi="仿宋_GB2312" w:eastAsia="仿宋_GB2312" w:cs="仿宋_GB2312"/>
                <w:i w:val="0"/>
                <w:iCs w:val="0"/>
                <w:caps w:val="0"/>
                <w:color w:val="333333"/>
                <w:spacing w:val="0"/>
                <w:sz w:val="21"/>
                <w:szCs w:val="21"/>
                <w:shd w:val="clear" w:fill="FFFFFF"/>
                <w:lang w:val="en-US" w:eastAsia="zh-CN"/>
              </w:rPr>
              <w:t>（五）当事人双方没有直系血亲和三代以内旁系血亲关系；</w:t>
            </w: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iCs w:val="0"/>
                <w:caps w:val="0"/>
                <w:color w:val="333333"/>
                <w:spacing w:val="0"/>
                <w:sz w:val="21"/>
                <w:szCs w:val="21"/>
                <w:shd w:val="clear" w:fill="FFFFFF"/>
                <w:lang w:val="en-US" w:eastAsia="zh-CN"/>
              </w:rPr>
            </w:pPr>
            <w:r>
              <w:rPr>
                <w:rFonts w:hint="eastAsia" w:ascii="仿宋_GB2312" w:hAnsi="仿宋_GB2312" w:eastAsia="仿宋_GB2312" w:cs="仿宋_GB2312"/>
                <w:i w:val="0"/>
                <w:iCs w:val="0"/>
                <w:caps w:val="0"/>
                <w:color w:val="333333"/>
                <w:spacing w:val="0"/>
                <w:sz w:val="21"/>
                <w:szCs w:val="21"/>
                <w:shd w:val="clear" w:fill="FFFFFF"/>
                <w:lang w:val="en-US" w:eastAsia="zh-CN"/>
              </w:rPr>
              <w:t>（六）双方自愿结婚；</w:t>
            </w: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iCs w:val="0"/>
                <w:caps w:val="0"/>
                <w:color w:val="333333"/>
                <w:spacing w:val="0"/>
                <w:sz w:val="21"/>
                <w:szCs w:val="21"/>
                <w:shd w:val="clear" w:fill="FFFFFF"/>
                <w:lang w:val="en-US" w:eastAsia="zh-CN"/>
              </w:rPr>
            </w:pPr>
            <w:r>
              <w:rPr>
                <w:rFonts w:hint="eastAsia" w:ascii="仿宋_GB2312" w:hAnsi="仿宋_GB2312" w:eastAsia="仿宋_GB2312" w:cs="仿宋_GB2312"/>
                <w:i w:val="0"/>
                <w:iCs w:val="0"/>
                <w:caps w:val="0"/>
                <w:color w:val="333333"/>
                <w:spacing w:val="0"/>
                <w:sz w:val="21"/>
                <w:szCs w:val="21"/>
                <w:shd w:val="clear" w:fill="FFFFFF"/>
                <w:lang w:val="en-US" w:eastAsia="zh-CN"/>
              </w:rPr>
              <w:t>（七）当事人提交3张2英寸双方近期半身免冠合影照片；</w:t>
            </w: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iCs w:val="0"/>
                <w:caps w:val="0"/>
                <w:color w:val="333333"/>
                <w:spacing w:val="0"/>
                <w:sz w:val="21"/>
                <w:szCs w:val="21"/>
                <w:shd w:val="clear" w:fill="FFFFFF"/>
                <w:lang w:val="en-US" w:eastAsia="zh-CN"/>
              </w:rPr>
            </w:pPr>
            <w:r>
              <w:rPr>
                <w:rFonts w:hint="eastAsia" w:ascii="仿宋_GB2312" w:hAnsi="仿宋_GB2312" w:eastAsia="仿宋_GB2312" w:cs="仿宋_GB2312"/>
                <w:i w:val="0"/>
                <w:iCs w:val="0"/>
                <w:caps w:val="0"/>
                <w:color w:val="333333"/>
                <w:spacing w:val="0"/>
                <w:sz w:val="21"/>
                <w:szCs w:val="21"/>
                <w:shd w:val="clear" w:fill="FFFFFF"/>
                <w:lang w:val="en-US" w:eastAsia="zh-CN"/>
              </w:rPr>
              <w:t>（八）当事人持有本规范第二十九条至第三十五条规定的有效证件。</w:t>
            </w:r>
          </w:p>
          <w:p>
            <w:pPr>
              <w:keepNext w:val="0"/>
              <w:keepLines w:val="0"/>
              <w:widowControl/>
              <w:suppressLineNumbers w:val="0"/>
              <w:ind w:firstLine="420" w:firstLineChars="200"/>
              <w:jc w:val="left"/>
              <w:textAlignment w:val="center"/>
              <w:rPr>
                <w:rFonts w:hint="eastAsia" w:ascii="仿宋_GB2312" w:hAnsi="仿宋_GB2312" w:eastAsia="仿宋_GB2312" w:cs="仿宋_GB2312"/>
                <w:bCs/>
                <w:sz w:val="21"/>
                <w:szCs w:val="21"/>
              </w:rPr>
            </w:pPr>
          </w:p>
        </w:tc>
        <w:tc>
          <w:tcPr>
            <w:tcW w:w="1296"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aps w:val="0"/>
                <w:color w:val="333333"/>
                <w:spacing w:val="0"/>
                <w:sz w:val="21"/>
                <w:szCs w:val="21"/>
                <w:shd w:val="clear" w:fill="FFFFFF"/>
              </w:rPr>
            </w:pPr>
            <w:r>
              <w:rPr>
                <w:rFonts w:hint="eastAsia" w:ascii="仿宋_GB2312" w:hAnsi="仿宋_GB2312" w:eastAsia="仿宋_GB2312" w:cs="仿宋_GB2312"/>
                <w:i w:val="0"/>
                <w:iCs w:val="0"/>
                <w:caps w:val="0"/>
                <w:color w:val="333333"/>
                <w:spacing w:val="0"/>
                <w:sz w:val="21"/>
                <w:szCs w:val="21"/>
                <w:shd w:val="clear" w:fill="FFFFFF"/>
                <w:lang w:val="en-US" w:eastAsia="zh-CN"/>
              </w:rPr>
              <w:t>陵川县民政局</w:t>
            </w:r>
          </w:p>
        </w:tc>
        <w:tc>
          <w:tcPr>
            <w:tcW w:w="1554" w:type="dxa"/>
            <w:vAlign w:val="center"/>
          </w:tcPr>
          <w:p>
            <w:pPr>
              <w:keepNext w:val="0"/>
              <w:keepLines w:val="0"/>
              <w:widowControl/>
              <w:suppressLineNumbers w:val="0"/>
              <w:ind w:firstLine="210" w:firstLineChars="100"/>
              <w:jc w:val="left"/>
              <w:textAlignment w:val="center"/>
              <w:rPr>
                <w:rFonts w:hint="eastAsia" w:ascii="仿宋_GB2312" w:hAnsi="仿宋_GB2312" w:eastAsia="仿宋_GB2312" w:cs="仿宋_GB2312"/>
                <w:i w:val="0"/>
                <w:iCs w:val="0"/>
                <w:caps w:val="0"/>
                <w:color w:val="333333"/>
                <w:spacing w:val="0"/>
                <w:sz w:val="21"/>
                <w:szCs w:val="21"/>
                <w:shd w:val="clear" w:fill="FFFFFF"/>
              </w:rPr>
            </w:pPr>
            <w:r>
              <w:rPr>
                <w:rFonts w:hint="eastAsia" w:ascii="仿宋_GB2312" w:hAnsi="仿宋_GB2312" w:eastAsia="仿宋_GB2312" w:cs="仿宋_GB2312"/>
                <w:i w:val="0"/>
                <w:iCs w:val="0"/>
                <w:caps w:val="0"/>
                <w:color w:val="333333"/>
                <w:spacing w:val="0"/>
                <w:sz w:val="21"/>
                <w:szCs w:val="21"/>
                <w:shd w:val="clear" w:fill="FFFFFF"/>
                <w:lang w:val="en-US" w:eastAsia="zh-CN"/>
              </w:rPr>
              <w:t>行政管理股</w:t>
            </w:r>
          </w:p>
        </w:tc>
        <w:tc>
          <w:tcPr>
            <w:tcW w:w="1084" w:type="dxa"/>
            <w:vAlign w:val="center"/>
          </w:tcPr>
          <w:p>
            <w:pPr>
              <w:pStyle w:val="17"/>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15</w:t>
            </w:r>
          </w:p>
        </w:tc>
        <w:tc>
          <w:tcPr>
            <w:tcW w:w="2057" w:type="dxa"/>
            <w:vAlign w:val="center"/>
          </w:tcPr>
          <w:p>
            <w:pPr>
              <w:keepNext w:val="0"/>
              <w:keepLines w:val="0"/>
              <w:widowControl/>
              <w:suppressLineNumbers w:val="0"/>
              <w:jc w:val="center"/>
              <w:textAlignment w:val="center"/>
              <w:rPr>
                <w:rFonts w:hint="eastAsia" w:ascii="仿宋_GB2312" w:hAnsi="仿宋_GB2312" w:eastAsia="仿宋_GB2312" w:cs="仿宋_GB2312"/>
                <w:bCs/>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养老机构评估管理</w:t>
            </w:r>
          </w:p>
        </w:tc>
        <w:tc>
          <w:tcPr>
            <w:tcW w:w="1833" w:type="dxa"/>
            <w:vAlign w:val="center"/>
          </w:tcPr>
          <w:p>
            <w:pPr>
              <w:keepNext w:val="0"/>
              <w:keepLines w:val="0"/>
              <w:widowControl/>
              <w:suppressLineNumbers w:val="0"/>
              <w:jc w:val="center"/>
              <w:textAlignment w:val="center"/>
              <w:rPr>
                <w:rFonts w:hint="eastAsia" w:ascii="仿宋_GB2312" w:hAnsi="仿宋_GB2312" w:eastAsia="仿宋_GB2312" w:cs="仿宋_GB2312"/>
                <w:bCs/>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其他行政执法事项</w:t>
            </w:r>
          </w:p>
        </w:tc>
        <w:tc>
          <w:tcPr>
            <w:tcW w:w="5921" w:type="dxa"/>
            <w:vAlign w:val="center"/>
          </w:tcPr>
          <w:p>
            <w:pPr>
              <w:keepNext w:val="0"/>
              <w:keepLines w:val="0"/>
              <w:widowControl/>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iCs w:val="0"/>
                <w:caps w:val="0"/>
                <w:color w:val="333333"/>
                <w:spacing w:val="0"/>
                <w:sz w:val="21"/>
                <w:szCs w:val="21"/>
                <w:shd w:val="clear" w:fill="FFFFFF"/>
                <w:lang w:val="en-US" w:eastAsia="zh-CN"/>
              </w:rPr>
            </w:pPr>
            <w:r>
              <w:rPr>
                <w:rFonts w:hint="eastAsia" w:ascii="仿宋_GB2312" w:hAnsi="仿宋_GB2312" w:eastAsia="仿宋_GB2312" w:cs="仿宋_GB2312"/>
                <w:i w:val="0"/>
                <w:iCs w:val="0"/>
                <w:caps w:val="0"/>
                <w:color w:val="333333"/>
                <w:spacing w:val="0"/>
                <w:sz w:val="21"/>
                <w:szCs w:val="21"/>
                <w:shd w:val="clear" w:fill="FFFFFF"/>
                <w:lang w:val="en-US" w:eastAsia="zh-CN"/>
              </w:rPr>
              <w:t>【部门规章】《养老机构管理办法》（2020年11月民政部令第66号，已经2020年8月21日民政部部务会议通过，现予公布，自2020年11月1日起施行。）</w:t>
            </w:r>
            <w:r>
              <w:rPr>
                <w:rFonts w:hint="eastAsia" w:ascii="仿宋_GB2312" w:hAnsi="仿宋_GB2312" w:eastAsia="仿宋_GB2312" w:cs="仿宋_GB2312"/>
                <w:i w:val="0"/>
                <w:iCs w:val="0"/>
                <w:caps w:val="0"/>
                <w:color w:val="333333"/>
                <w:spacing w:val="0"/>
                <w:sz w:val="21"/>
                <w:szCs w:val="21"/>
                <w:shd w:val="clear" w:fill="FFFFFF"/>
                <w:lang w:val="en-US" w:eastAsia="zh-CN"/>
              </w:rPr>
              <w:br w:type="textWrapping"/>
            </w:r>
            <w:r>
              <w:rPr>
                <w:rFonts w:hint="eastAsia" w:ascii="仿宋_GB2312" w:hAnsi="仿宋_GB2312" w:eastAsia="仿宋_GB2312" w:cs="仿宋_GB2312"/>
                <w:i w:val="0"/>
                <w:iCs w:val="0"/>
                <w:caps w:val="0"/>
                <w:color w:val="333333"/>
                <w:spacing w:val="0"/>
                <w:sz w:val="21"/>
                <w:szCs w:val="21"/>
                <w:shd w:val="clear" w:fill="FFFFFF"/>
                <w:lang w:val="en-US" w:eastAsia="zh-CN"/>
              </w:rPr>
              <w:t xml:space="preserve">    第十五条  养老机构应当建立入院评估制度，对老年人的身心状况进行评估，并根据评估结果确定照料护理等级。老年人身心状况发生变化，需要变更照料护理等级的，养老机构应当重新进行评估。 养老机构确定或者变更老年人照料护理等级，应当经老年人或者其代理人同意。</w:t>
            </w: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iCs w:val="0"/>
                <w:caps w:val="0"/>
                <w:color w:val="333333"/>
                <w:spacing w:val="0"/>
                <w:sz w:val="21"/>
                <w:szCs w:val="21"/>
                <w:shd w:val="clear" w:fill="FFFFFF"/>
                <w:lang w:val="en-US" w:eastAsia="zh-CN"/>
              </w:rPr>
            </w:pPr>
          </w:p>
        </w:tc>
        <w:tc>
          <w:tcPr>
            <w:tcW w:w="1296" w:type="dxa"/>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陵川县民政局</w:t>
            </w:r>
          </w:p>
        </w:tc>
        <w:tc>
          <w:tcPr>
            <w:tcW w:w="1554" w:type="dxa"/>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社救股</w:t>
            </w:r>
          </w:p>
        </w:tc>
        <w:tc>
          <w:tcPr>
            <w:tcW w:w="1084" w:type="dxa"/>
            <w:vAlign w:val="center"/>
          </w:tcPr>
          <w:p>
            <w:pPr>
              <w:pStyle w:val="17"/>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16</w:t>
            </w:r>
          </w:p>
        </w:tc>
        <w:tc>
          <w:tcPr>
            <w:tcW w:w="2057" w:type="dxa"/>
            <w:vAlign w:val="center"/>
          </w:tcPr>
          <w:p>
            <w:pPr>
              <w:keepNext w:val="0"/>
              <w:keepLines w:val="0"/>
              <w:widowControl/>
              <w:suppressLineNumbers w:val="0"/>
              <w:jc w:val="center"/>
              <w:textAlignment w:val="center"/>
              <w:rPr>
                <w:rFonts w:hint="eastAsia" w:ascii="仿宋_GB2312" w:hAnsi="仿宋_GB2312" w:eastAsia="仿宋_GB2312" w:cs="仿宋_GB2312"/>
                <w:bCs/>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养老机构备案</w:t>
            </w:r>
          </w:p>
        </w:tc>
        <w:tc>
          <w:tcPr>
            <w:tcW w:w="1833" w:type="dxa"/>
            <w:vAlign w:val="center"/>
          </w:tcPr>
          <w:p>
            <w:pPr>
              <w:keepNext w:val="0"/>
              <w:keepLines w:val="0"/>
              <w:widowControl/>
              <w:suppressLineNumbers w:val="0"/>
              <w:jc w:val="center"/>
              <w:textAlignment w:val="center"/>
              <w:rPr>
                <w:rFonts w:hint="eastAsia" w:ascii="仿宋_GB2312" w:hAnsi="仿宋_GB2312" w:eastAsia="仿宋_GB2312" w:cs="仿宋_GB2312"/>
                <w:bCs/>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其他行政执法事项</w:t>
            </w:r>
          </w:p>
        </w:tc>
        <w:tc>
          <w:tcPr>
            <w:tcW w:w="5921" w:type="dxa"/>
            <w:vAlign w:val="center"/>
          </w:tcPr>
          <w:p>
            <w:pPr>
              <w:keepNext w:val="0"/>
              <w:keepLines w:val="0"/>
              <w:widowControl/>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iCs w:val="0"/>
                <w:caps w:val="0"/>
                <w:color w:val="333333"/>
                <w:spacing w:val="0"/>
                <w:sz w:val="21"/>
                <w:szCs w:val="21"/>
                <w:shd w:val="clear" w:fill="FFFFFF"/>
                <w:lang w:val="en-US" w:eastAsia="zh-CN"/>
              </w:rPr>
            </w:pPr>
            <w:r>
              <w:rPr>
                <w:rFonts w:hint="eastAsia" w:ascii="仿宋_GB2312" w:hAnsi="仿宋_GB2312" w:eastAsia="仿宋_GB2312" w:cs="仿宋_GB2312"/>
                <w:i w:val="0"/>
                <w:snapToGrid w:val="0"/>
                <w:color w:val="000000"/>
                <w:kern w:val="0"/>
                <w:sz w:val="21"/>
                <w:szCs w:val="21"/>
                <w:u w:val="none"/>
                <w:lang w:val="en-US" w:eastAsia="zh-CN" w:bidi="ar"/>
              </w:rPr>
              <w:t>【部门规章】《养老机构管理办法》</w:t>
            </w:r>
            <w:r>
              <w:rPr>
                <w:rFonts w:hint="eastAsia" w:ascii="仿宋_GB2312" w:hAnsi="仿宋_GB2312" w:eastAsia="仿宋_GB2312" w:cs="仿宋_GB2312"/>
                <w:i w:val="0"/>
                <w:iCs w:val="0"/>
                <w:caps w:val="0"/>
                <w:color w:val="333333"/>
                <w:spacing w:val="0"/>
                <w:sz w:val="21"/>
                <w:szCs w:val="21"/>
                <w:shd w:val="clear" w:fill="FFFFFF"/>
                <w:lang w:val="en-US" w:eastAsia="zh-CN"/>
              </w:rPr>
              <w:t>（2020年11月民政部令第66号，已经2020年8月21日民政部部务会议通过，现予公布，自2020年11月1日起施行。）</w:t>
            </w:r>
            <w:r>
              <w:rPr>
                <w:rFonts w:hint="eastAsia" w:ascii="仿宋_GB2312" w:hAnsi="仿宋_GB2312" w:eastAsia="仿宋_GB2312" w:cs="仿宋_GB2312"/>
                <w:i w:val="0"/>
                <w:iCs w:val="0"/>
                <w:caps w:val="0"/>
                <w:color w:val="333333"/>
                <w:spacing w:val="0"/>
                <w:sz w:val="21"/>
                <w:szCs w:val="21"/>
                <w:shd w:val="clear" w:fill="FFFFFF"/>
                <w:lang w:val="en-US" w:eastAsia="zh-CN"/>
              </w:rPr>
              <w:br w:type="textWrapping"/>
            </w:r>
            <w:r>
              <w:rPr>
                <w:rFonts w:hint="eastAsia" w:ascii="仿宋_GB2312" w:hAnsi="仿宋_GB2312" w:eastAsia="仿宋_GB2312" w:cs="仿宋_GB2312"/>
                <w:i w:val="0"/>
                <w:iCs w:val="0"/>
                <w:caps w:val="0"/>
                <w:color w:val="333333"/>
                <w:spacing w:val="0"/>
                <w:sz w:val="21"/>
                <w:szCs w:val="21"/>
                <w:shd w:val="clear" w:fill="FFFFFF"/>
                <w:lang w:val="en-US" w:eastAsia="zh-CN"/>
              </w:rPr>
              <w:t xml:space="preserve">    第九条　设立营利性养老机构，应当在市场监督管理部门办理登记。设立非营利性养老机构，应当依法办理相应的登记。养老机构登记后即可开展服务活动。</w:t>
            </w:r>
          </w:p>
          <w:p>
            <w:pPr>
              <w:keepNext w:val="0"/>
              <w:keepLines w:val="0"/>
              <w:widowControl/>
              <w:numPr>
                <w:ilvl w:val="0"/>
                <w:numId w:val="2"/>
              </w:numPr>
              <w:suppressLineNumbers w:val="0"/>
              <w:ind w:firstLine="420" w:firstLineChars="200"/>
              <w:jc w:val="left"/>
              <w:textAlignment w:val="center"/>
              <w:rPr>
                <w:rFonts w:hint="eastAsia" w:ascii="仿宋_GB2312" w:hAnsi="仿宋_GB2312" w:eastAsia="仿宋_GB2312" w:cs="仿宋_GB2312"/>
                <w:i w:val="0"/>
                <w:iCs w:val="0"/>
                <w:caps w:val="0"/>
                <w:color w:val="333333"/>
                <w:spacing w:val="0"/>
                <w:sz w:val="21"/>
                <w:szCs w:val="21"/>
                <w:shd w:val="clear" w:fill="FFFFFF"/>
                <w:lang w:val="en-US" w:eastAsia="zh-CN"/>
              </w:rPr>
            </w:pPr>
            <w:r>
              <w:rPr>
                <w:rFonts w:hint="eastAsia" w:ascii="仿宋_GB2312" w:hAnsi="仿宋_GB2312" w:eastAsia="仿宋_GB2312" w:cs="仿宋_GB2312"/>
                <w:i w:val="0"/>
                <w:iCs w:val="0"/>
                <w:caps w:val="0"/>
                <w:color w:val="333333"/>
                <w:spacing w:val="0"/>
                <w:sz w:val="21"/>
                <w:szCs w:val="21"/>
                <w:shd w:val="clear" w:fill="FFFFFF"/>
                <w:lang w:val="en-US" w:eastAsia="zh-CN"/>
              </w:rPr>
              <w:t xml:space="preserve"> 营利性养老机构办理备案，应当在收住老年人后10个工作日以内向服务场所所在地的县级人民政府民政部门提出。非营利性养老机构办理备案，应当在收住老年人后10个工作日以内向登记管理机关同级的人民政府民政部门提出。</w:t>
            </w:r>
            <w:r>
              <w:rPr>
                <w:rFonts w:hint="eastAsia" w:ascii="仿宋_GB2312" w:hAnsi="仿宋_GB2312" w:eastAsia="仿宋_GB2312" w:cs="仿宋_GB2312"/>
                <w:i w:val="0"/>
                <w:iCs w:val="0"/>
                <w:caps w:val="0"/>
                <w:color w:val="333333"/>
                <w:spacing w:val="0"/>
                <w:sz w:val="21"/>
                <w:szCs w:val="21"/>
                <w:shd w:val="clear" w:fill="FFFFFF"/>
                <w:lang w:val="en-US" w:eastAsia="zh-CN"/>
              </w:rPr>
              <w:br w:type="textWrapping"/>
            </w:r>
            <w:r>
              <w:rPr>
                <w:rFonts w:hint="eastAsia" w:ascii="仿宋_GB2312" w:hAnsi="仿宋_GB2312" w:eastAsia="仿宋_GB2312" w:cs="仿宋_GB2312"/>
                <w:i w:val="0"/>
                <w:iCs w:val="0"/>
                <w:caps w:val="0"/>
                <w:color w:val="333333"/>
                <w:spacing w:val="0"/>
                <w:sz w:val="21"/>
                <w:szCs w:val="21"/>
                <w:shd w:val="clear" w:fill="FFFFFF"/>
                <w:lang w:val="en-US" w:eastAsia="zh-CN"/>
              </w:rPr>
              <w:t xml:space="preserve">    第十一条  养老机构办理备案，应当向民政部门提交备案申请书、养老机构登记证书、符合本办法第四条要求的承诺书等材料，并对真实性负责。</w:t>
            </w:r>
            <w:r>
              <w:rPr>
                <w:rFonts w:hint="eastAsia" w:ascii="仿宋_GB2312" w:hAnsi="仿宋_GB2312" w:eastAsia="仿宋_GB2312" w:cs="仿宋_GB2312"/>
                <w:i w:val="0"/>
                <w:iCs w:val="0"/>
                <w:caps w:val="0"/>
                <w:color w:val="333333"/>
                <w:spacing w:val="0"/>
                <w:sz w:val="21"/>
                <w:szCs w:val="21"/>
                <w:shd w:val="clear" w:fill="FFFFFF"/>
                <w:lang w:val="en-US" w:eastAsia="zh-CN"/>
              </w:rPr>
              <w:br w:type="textWrapping"/>
            </w:r>
            <w:r>
              <w:rPr>
                <w:rFonts w:hint="eastAsia" w:ascii="仿宋_GB2312" w:hAnsi="仿宋_GB2312" w:eastAsia="仿宋_GB2312" w:cs="仿宋_GB2312"/>
                <w:i w:val="0"/>
                <w:iCs w:val="0"/>
                <w:caps w:val="0"/>
                <w:color w:val="333333"/>
                <w:spacing w:val="0"/>
                <w:sz w:val="21"/>
                <w:szCs w:val="21"/>
                <w:shd w:val="clear" w:fill="FFFFFF"/>
                <w:lang w:val="en-US" w:eastAsia="zh-CN"/>
              </w:rPr>
              <w:t xml:space="preserve">    备案申请书应当包括下列内容：</w:t>
            </w:r>
            <w:r>
              <w:rPr>
                <w:rFonts w:hint="eastAsia" w:ascii="仿宋_GB2312" w:hAnsi="仿宋_GB2312" w:eastAsia="仿宋_GB2312" w:cs="仿宋_GB2312"/>
                <w:i w:val="0"/>
                <w:iCs w:val="0"/>
                <w:caps w:val="0"/>
                <w:color w:val="333333"/>
                <w:spacing w:val="0"/>
                <w:sz w:val="21"/>
                <w:szCs w:val="21"/>
                <w:shd w:val="clear" w:fill="FFFFFF"/>
                <w:lang w:val="en-US" w:eastAsia="zh-CN"/>
              </w:rPr>
              <w:br w:type="textWrapping"/>
            </w:r>
            <w:r>
              <w:rPr>
                <w:rFonts w:hint="eastAsia" w:ascii="仿宋_GB2312" w:hAnsi="仿宋_GB2312" w:eastAsia="仿宋_GB2312" w:cs="仿宋_GB2312"/>
                <w:i w:val="0"/>
                <w:iCs w:val="0"/>
                <w:caps w:val="0"/>
                <w:color w:val="333333"/>
                <w:spacing w:val="0"/>
                <w:sz w:val="21"/>
                <w:szCs w:val="21"/>
                <w:shd w:val="clear" w:fill="FFFFFF"/>
                <w:lang w:val="en-US" w:eastAsia="zh-CN"/>
              </w:rPr>
              <w:t xml:space="preserve">    （一）养老机构基本情况，包括名称、住所、法定代表人或者主要负责人信息等；（二）服务场所权属；（三）养老床位数量；（四）服务设施面积；（五）联系人和联系方式。</w:t>
            </w:r>
            <w:r>
              <w:rPr>
                <w:rFonts w:hint="eastAsia" w:ascii="仿宋_GB2312" w:hAnsi="仿宋_GB2312" w:eastAsia="仿宋_GB2312" w:cs="仿宋_GB2312"/>
                <w:i w:val="0"/>
                <w:iCs w:val="0"/>
                <w:caps w:val="0"/>
                <w:color w:val="333333"/>
                <w:spacing w:val="0"/>
                <w:sz w:val="21"/>
                <w:szCs w:val="21"/>
                <w:shd w:val="clear" w:fill="FFFFFF"/>
                <w:lang w:val="en-US" w:eastAsia="zh-CN"/>
              </w:rPr>
              <w:br w:type="textWrapping"/>
            </w:r>
            <w:r>
              <w:rPr>
                <w:rFonts w:hint="eastAsia" w:ascii="仿宋_GB2312" w:hAnsi="仿宋_GB2312" w:eastAsia="仿宋_GB2312" w:cs="仿宋_GB2312"/>
                <w:i w:val="0"/>
                <w:iCs w:val="0"/>
                <w:caps w:val="0"/>
                <w:color w:val="333333"/>
                <w:spacing w:val="0"/>
                <w:sz w:val="21"/>
                <w:szCs w:val="21"/>
                <w:shd w:val="clear" w:fill="FFFFFF"/>
                <w:lang w:val="en-US" w:eastAsia="zh-CN"/>
              </w:rPr>
              <w:t xml:space="preserve">    第十二条  民政部门收到养老机构备案材料后，对材料齐全的，应当出具备案回执；材料不齐全的，应当指导养老机构补正。</w:t>
            </w:r>
          </w:p>
          <w:p>
            <w:pPr>
              <w:keepNext w:val="0"/>
              <w:keepLines w:val="0"/>
              <w:widowControl/>
              <w:numPr>
                <w:ilvl w:val="0"/>
                <w:numId w:val="0"/>
              </w:numPr>
              <w:suppressLineNumbers w:val="0"/>
              <w:jc w:val="left"/>
              <w:textAlignment w:val="center"/>
              <w:rPr>
                <w:rFonts w:hint="eastAsia" w:ascii="仿宋_GB2312" w:hAnsi="仿宋_GB2312" w:eastAsia="仿宋_GB2312" w:cs="仿宋_GB2312"/>
                <w:i w:val="0"/>
                <w:iCs w:val="0"/>
                <w:caps w:val="0"/>
                <w:color w:val="333333"/>
                <w:spacing w:val="0"/>
                <w:sz w:val="21"/>
                <w:szCs w:val="21"/>
                <w:shd w:val="clear" w:fill="FFFFFF"/>
                <w:lang w:val="en-US" w:eastAsia="zh-CN"/>
              </w:rPr>
            </w:pPr>
          </w:p>
          <w:p>
            <w:pPr>
              <w:keepNext w:val="0"/>
              <w:keepLines w:val="0"/>
              <w:widowControl/>
              <w:numPr>
                <w:ilvl w:val="0"/>
                <w:numId w:val="0"/>
              </w:numPr>
              <w:suppressLineNumbers w:val="0"/>
              <w:jc w:val="left"/>
              <w:textAlignment w:val="center"/>
              <w:rPr>
                <w:rFonts w:hint="eastAsia" w:ascii="仿宋_GB2312" w:hAnsi="仿宋_GB2312" w:eastAsia="仿宋_GB2312" w:cs="仿宋_GB2312"/>
                <w:i w:val="0"/>
                <w:iCs w:val="0"/>
                <w:caps w:val="0"/>
                <w:color w:val="333333"/>
                <w:spacing w:val="0"/>
                <w:sz w:val="21"/>
                <w:szCs w:val="21"/>
                <w:shd w:val="clear" w:fill="FFFFFF"/>
                <w:lang w:val="en-US" w:eastAsia="zh-CN"/>
              </w:rPr>
            </w:pPr>
          </w:p>
          <w:p>
            <w:pPr>
              <w:keepNext w:val="0"/>
              <w:keepLines w:val="0"/>
              <w:widowControl/>
              <w:numPr>
                <w:ilvl w:val="0"/>
                <w:numId w:val="0"/>
              </w:numPr>
              <w:suppressLineNumbers w:val="0"/>
              <w:jc w:val="left"/>
              <w:textAlignment w:val="center"/>
              <w:rPr>
                <w:rFonts w:hint="eastAsia" w:ascii="仿宋_GB2312" w:hAnsi="仿宋_GB2312" w:eastAsia="仿宋_GB2312" w:cs="仿宋_GB2312"/>
                <w:i w:val="0"/>
                <w:iCs w:val="0"/>
                <w:caps w:val="0"/>
                <w:color w:val="333333"/>
                <w:spacing w:val="0"/>
                <w:sz w:val="21"/>
                <w:szCs w:val="21"/>
                <w:shd w:val="clear" w:fill="FFFFFF"/>
                <w:lang w:val="en-US" w:eastAsia="zh-CN"/>
              </w:rPr>
            </w:pPr>
          </w:p>
        </w:tc>
        <w:tc>
          <w:tcPr>
            <w:tcW w:w="1296" w:type="dxa"/>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陵川县民政局</w:t>
            </w:r>
          </w:p>
        </w:tc>
        <w:tc>
          <w:tcPr>
            <w:tcW w:w="1554" w:type="dxa"/>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社救股</w:t>
            </w:r>
          </w:p>
        </w:tc>
        <w:tc>
          <w:tcPr>
            <w:tcW w:w="1084" w:type="dxa"/>
            <w:vAlign w:val="center"/>
          </w:tcPr>
          <w:p>
            <w:pPr>
              <w:pStyle w:val="17"/>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17</w:t>
            </w:r>
          </w:p>
        </w:tc>
        <w:tc>
          <w:tcPr>
            <w:tcW w:w="2057" w:type="dxa"/>
            <w:vAlign w:val="center"/>
          </w:tcPr>
          <w:p>
            <w:pPr>
              <w:keepNext w:val="0"/>
              <w:keepLines w:val="0"/>
              <w:widowControl/>
              <w:suppressLineNumbers w:val="0"/>
              <w:jc w:val="center"/>
              <w:textAlignment w:val="center"/>
              <w:rPr>
                <w:rFonts w:hint="eastAsia" w:ascii="仿宋_GB2312" w:hAnsi="仿宋_GB2312" w:eastAsia="仿宋_GB2312" w:cs="仿宋_GB2312"/>
                <w:bCs/>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慈善信托备案</w:t>
            </w:r>
          </w:p>
        </w:tc>
        <w:tc>
          <w:tcPr>
            <w:tcW w:w="1833" w:type="dxa"/>
            <w:vAlign w:val="center"/>
          </w:tcPr>
          <w:p>
            <w:pPr>
              <w:keepNext w:val="0"/>
              <w:keepLines w:val="0"/>
              <w:widowControl/>
              <w:suppressLineNumbers w:val="0"/>
              <w:jc w:val="center"/>
              <w:textAlignment w:val="center"/>
              <w:rPr>
                <w:rFonts w:hint="eastAsia" w:ascii="仿宋_GB2312" w:hAnsi="仿宋_GB2312" w:eastAsia="仿宋_GB2312" w:cs="仿宋_GB2312"/>
                <w:bCs/>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其他行政执法事项</w:t>
            </w:r>
          </w:p>
        </w:tc>
        <w:tc>
          <w:tcPr>
            <w:tcW w:w="5921" w:type="dxa"/>
            <w:vAlign w:val="center"/>
          </w:tcPr>
          <w:p>
            <w:pPr>
              <w:keepNext w:val="0"/>
              <w:keepLines w:val="0"/>
              <w:widowControl/>
              <w:suppressLineNumbers w:val="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【法律】《中华人民共和国慈善法》 （由中华人民共和国第十二届全国人民代表大会第四次会议于2016年3月16日通过，自2016年9月1日起施行，2023年12月29日，中华人民共和国第十四届全国人大常委会第七次会议表决通过关于修改慈善法的决定，自2024年9月5日起施行）</w:t>
            </w: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第四十五条  设立慈善信托、确定受托人和监察人，应当采取书面形式。受托人应当在慈善信托文件签订之日起七日内，将相关文件向受托人所在地县级以上人民政府民政部门备案。未按照前款规定将相关文件报民政部门备案的，不享受税收优惠。</w:t>
            </w:r>
            <w:r>
              <w:rPr>
                <w:rFonts w:hint="eastAsia" w:ascii="仿宋_GB2312" w:hAnsi="仿宋_GB2312" w:eastAsia="仿宋_GB2312" w:cs="仿宋_GB2312"/>
                <w:i w:val="0"/>
                <w:snapToGrid w:val="0"/>
                <w:color w:val="000000"/>
                <w:kern w:val="0"/>
                <w:sz w:val="21"/>
                <w:szCs w:val="21"/>
                <w:u w:val="none"/>
                <w:lang w:val="en-US" w:eastAsia="zh-CN" w:bidi="ar"/>
              </w:rPr>
              <w:br w:type="textWrapping"/>
            </w:r>
            <w:r>
              <w:rPr>
                <w:rFonts w:hint="eastAsia" w:ascii="仿宋_GB2312" w:hAnsi="仿宋_GB2312" w:eastAsia="仿宋_GB2312" w:cs="仿宋_GB2312"/>
                <w:i w:val="0"/>
                <w:snapToGrid w:val="0"/>
                <w:color w:val="000000"/>
                <w:kern w:val="0"/>
                <w:sz w:val="21"/>
                <w:szCs w:val="21"/>
                <w:u w:val="none"/>
                <w:lang w:val="en-US" w:eastAsia="zh-CN" w:bidi="ar"/>
              </w:rPr>
              <w:t xml:space="preserve">    第四十八条  慈善信托的受托人违反信托义务或者难以履行职责的，委托人可以变更受托人。变更后的受托人应当自变更之日起七日内，将变更情况报原备案的民政部门重新备案。</w:t>
            </w:r>
            <w:r>
              <w:rPr>
                <w:rFonts w:hint="eastAsia" w:ascii="仿宋_GB2312" w:hAnsi="仿宋_GB2312" w:eastAsia="仿宋_GB2312" w:cs="仿宋_GB2312"/>
                <w:i w:val="0"/>
                <w:snapToGrid w:val="0"/>
                <w:color w:val="000000"/>
                <w:kern w:val="0"/>
                <w:sz w:val="21"/>
                <w:szCs w:val="21"/>
                <w:u w:val="none"/>
                <w:lang w:val="en-US" w:eastAsia="zh-CN" w:bidi="ar"/>
              </w:rPr>
              <w:br w:type="textWrapping"/>
            </w:r>
            <w:r>
              <w:rPr>
                <w:rFonts w:hint="eastAsia" w:ascii="仿宋_GB2312" w:hAnsi="仿宋_GB2312" w:eastAsia="仿宋_GB2312" w:cs="仿宋_GB2312"/>
                <w:i w:val="0"/>
                <w:snapToGrid w:val="0"/>
                <w:color w:val="000000"/>
                <w:kern w:val="0"/>
                <w:sz w:val="21"/>
                <w:szCs w:val="21"/>
                <w:u w:val="none"/>
                <w:lang w:val="en-US" w:eastAsia="zh-CN" w:bidi="ar"/>
              </w:rPr>
              <w:t xml:space="preserve">    【规范性文件】《民政部中国银行业监督管理委员会关于做好慈善信托备案有关工作的通知》（民发〔2016〕151号，</w:t>
            </w:r>
            <w:r>
              <w:rPr>
                <w:rFonts w:ascii="Helvetica" w:hAnsi="Helvetica" w:eastAsia="Helvetica" w:cs="Helvetica"/>
                <w:i w:val="0"/>
                <w:iCs w:val="0"/>
                <w:caps w:val="0"/>
                <w:color w:val="333333"/>
                <w:spacing w:val="0"/>
                <w:sz w:val="18"/>
                <w:szCs w:val="18"/>
                <w:shd w:val="clear" w:fill="FFFFFF"/>
              </w:rPr>
              <w:t>2016年8月25日</w:t>
            </w:r>
            <w:r>
              <w:rPr>
                <w:rFonts w:hint="eastAsia" w:ascii="Helvetica" w:hAnsi="Helvetica" w:eastAsia="宋体" w:cs="Helvetica"/>
                <w:i w:val="0"/>
                <w:iCs w:val="0"/>
                <w:caps w:val="0"/>
                <w:color w:val="333333"/>
                <w:spacing w:val="0"/>
                <w:sz w:val="18"/>
                <w:szCs w:val="18"/>
                <w:shd w:val="clear" w:fill="FFFFFF"/>
                <w:lang w:eastAsia="zh-CN"/>
              </w:rPr>
              <w:t>发布。</w:t>
            </w:r>
            <w:r>
              <w:rPr>
                <w:rFonts w:hint="eastAsia" w:ascii="仿宋_GB2312" w:hAnsi="仿宋_GB2312" w:eastAsia="仿宋_GB2312" w:cs="仿宋_GB2312"/>
                <w:i w:val="0"/>
                <w:snapToGrid w:val="0"/>
                <w:color w:val="000000"/>
                <w:kern w:val="0"/>
                <w:sz w:val="21"/>
                <w:szCs w:val="21"/>
                <w:u w:val="none"/>
                <w:lang w:val="en-US" w:eastAsia="zh-CN" w:bidi="ar"/>
              </w:rPr>
              <w:t>）</w:t>
            </w: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一、确定备案管辖机关。信托公司担任慈善信托受托人的，由其登记注册地设区市的民政部门履行备案职责；慈善组织担任慈善信托受托人的，由其登记的民政部门履行备案职责。</w:t>
            </w:r>
          </w:p>
          <w:p>
            <w:pPr>
              <w:keepNext w:val="0"/>
              <w:keepLines w:val="0"/>
              <w:widowControl/>
              <w:suppressLineNumbers w:val="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p>
        </w:tc>
        <w:tc>
          <w:tcPr>
            <w:tcW w:w="1296" w:type="dxa"/>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陵川县民政局</w:t>
            </w:r>
          </w:p>
        </w:tc>
        <w:tc>
          <w:tcPr>
            <w:tcW w:w="1554" w:type="dxa"/>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社救股</w:t>
            </w:r>
          </w:p>
        </w:tc>
        <w:tc>
          <w:tcPr>
            <w:tcW w:w="1084" w:type="dxa"/>
            <w:vAlign w:val="center"/>
          </w:tcPr>
          <w:p>
            <w:pPr>
              <w:pStyle w:val="17"/>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929" w:type="dxa"/>
            <w:vAlign w:val="center"/>
          </w:tcPr>
          <w:p>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18</w:t>
            </w:r>
          </w:p>
        </w:tc>
        <w:tc>
          <w:tcPr>
            <w:tcW w:w="2057" w:type="dxa"/>
            <w:vAlign w:val="center"/>
          </w:tcPr>
          <w:p>
            <w:pPr>
              <w:keepNext w:val="0"/>
              <w:keepLines w:val="0"/>
              <w:widowControl/>
              <w:suppressLineNumbers w:val="0"/>
              <w:jc w:val="center"/>
              <w:textAlignment w:val="center"/>
              <w:rPr>
                <w:rFonts w:hint="eastAsia" w:ascii="仿宋_GB2312" w:hAnsi="仿宋_GB2312" w:eastAsia="仿宋_GB2312" w:cs="仿宋_GB2312"/>
                <w:bCs/>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社会团体年度工作报告（不具有慈善组织属性）</w:t>
            </w:r>
          </w:p>
        </w:tc>
        <w:tc>
          <w:tcPr>
            <w:tcW w:w="1833" w:type="dxa"/>
            <w:vAlign w:val="center"/>
          </w:tcPr>
          <w:p>
            <w:pPr>
              <w:keepNext w:val="0"/>
              <w:keepLines w:val="0"/>
              <w:widowControl/>
              <w:suppressLineNumbers w:val="0"/>
              <w:jc w:val="center"/>
              <w:textAlignment w:val="center"/>
              <w:rPr>
                <w:rFonts w:hint="eastAsia" w:ascii="仿宋_GB2312" w:hAnsi="仿宋_GB2312" w:eastAsia="仿宋_GB2312" w:cs="仿宋_GB2312"/>
                <w:bCs/>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其他行政执法事项</w:t>
            </w:r>
          </w:p>
        </w:tc>
        <w:tc>
          <w:tcPr>
            <w:tcW w:w="5921" w:type="dxa"/>
            <w:vAlign w:val="center"/>
          </w:tcPr>
          <w:p>
            <w:pPr>
              <w:keepNext w:val="0"/>
              <w:keepLines w:val="0"/>
              <w:widowControl/>
              <w:suppressLineNumbers w:val="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p>
          <w:p>
            <w:pPr>
              <w:keepNext w:val="0"/>
              <w:keepLines w:val="0"/>
              <w:widowControl/>
              <w:suppressLineNumbers w:val="0"/>
              <w:ind w:left="210" w:leftChars="100" w:firstLine="210" w:firstLineChars="1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【部门规章】《社会团体登记管理条例》</w:t>
            </w:r>
            <w:r>
              <w:rPr>
                <w:rFonts w:hint="eastAsia" w:ascii="仿宋_GB2312" w:hAnsi="仿宋_GB2312" w:eastAsia="仿宋_GB2312" w:cs="仿宋_GB2312"/>
                <w:bCs/>
                <w:sz w:val="21"/>
                <w:szCs w:val="21"/>
                <w:lang w:val="en-US" w:eastAsia="zh-CN"/>
              </w:rPr>
              <w:t>（1998年10月25日国务院令第250号发布，2022年根据2016年02月06日国务院令第666号《国务院关于修改部分行政法规的决定》修订）</w:t>
            </w: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第二十四条  登记管理机关履行下列监督管理职责：(一)负责社会团体的成立、变更、注销的登记；(二)对社会团体实施年度检查；(三)对社会团体违反本条例的问题进行监督检查，对社会团体违反本条例的行为给予行政处罚。</w:t>
            </w:r>
            <w:r>
              <w:rPr>
                <w:rFonts w:hint="eastAsia" w:ascii="仿宋_GB2312" w:hAnsi="仿宋_GB2312" w:eastAsia="仿宋_GB2312" w:cs="仿宋_GB2312"/>
                <w:i w:val="0"/>
                <w:snapToGrid w:val="0"/>
                <w:color w:val="000000"/>
                <w:kern w:val="0"/>
                <w:sz w:val="21"/>
                <w:szCs w:val="21"/>
                <w:u w:val="none"/>
                <w:lang w:val="en-US" w:eastAsia="zh-CN" w:bidi="ar"/>
              </w:rPr>
              <w:br w:type="textWrapping"/>
            </w:r>
            <w:r>
              <w:rPr>
                <w:rFonts w:hint="eastAsia" w:ascii="仿宋_GB2312" w:hAnsi="仿宋_GB2312" w:eastAsia="仿宋_GB2312" w:cs="仿宋_GB2312"/>
                <w:i w:val="0"/>
                <w:snapToGrid w:val="0"/>
                <w:color w:val="000000"/>
                <w:kern w:val="0"/>
                <w:sz w:val="21"/>
                <w:szCs w:val="21"/>
                <w:u w:val="none"/>
                <w:lang w:val="en-US" w:eastAsia="zh-CN" w:bidi="ar"/>
              </w:rPr>
              <w:t xml:space="preserve">    第二十五条  业务主管单位履行下列监督管理职责：(一)负责社会团体成立登记、变更登记、注销登记前的审查；(二)监督、指导社会团体遵守宪法、法律、法规和国家政策，依据其章程开展活动；(三)负责社会团体年度检查的初审；(四)协助登记管理机关和其他有关部门查处社会团体的违法行为；(五)会同有关机关指导社会团体的清算事宜。业务主管单位履行前款规定的职责，不得向社会团体收取费用。</w:t>
            </w: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p>
        </w:tc>
        <w:tc>
          <w:tcPr>
            <w:tcW w:w="1296" w:type="dxa"/>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陵川县民政局</w:t>
            </w:r>
          </w:p>
        </w:tc>
        <w:tc>
          <w:tcPr>
            <w:tcW w:w="1554" w:type="dxa"/>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行政管理股</w:t>
            </w:r>
          </w:p>
        </w:tc>
        <w:tc>
          <w:tcPr>
            <w:tcW w:w="1084" w:type="dxa"/>
            <w:vAlign w:val="center"/>
          </w:tcPr>
          <w:p>
            <w:pPr>
              <w:pStyle w:val="17"/>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66" w:hRule="atLeast"/>
        </w:trPr>
        <w:tc>
          <w:tcPr>
            <w:tcW w:w="929" w:type="dxa"/>
            <w:vAlign w:val="center"/>
          </w:tcPr>
          <w:p>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19</w:t>
            </w:r>
          </w:p>
        </w:tc>
        <w:tc>
          <w:tcPr>
            <w:tcW w:w="2057" w:type="dxa"/>
            <w:vAlign w:val="center"/>
          </w:tcPr>
          <w:p>
            <w:pPr>
              <w:keepNext w:val="0"/>
              <w:keepLines w:val="0"/>
              <w:widowControl/>
              <w:suppressLineNumbers w:val="0"/>
              <w:jc w:val="center"/>
              <w:textAlignment w:val="center"/>
              <w:rPr>
                <w:rFonts w:hint="eastAsia" w:ascii="仿宋_GB2312" w:hAnsi="仿宋_GB2312" w:eastAsia="仿宋_GB2312" w:cs="仿宋_GB2312"/>
                <w:bCs/>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最低生活保障工作的监管</w:t>
            </w:r>
          </w:p>
        </w:tc>
        <w:tc>
          <w:tcPr>
            <w:tcW w:w="1833" w:type="dxa"/>
            <w:vAlign w:val="center"/>
          </w:tcPr>
          <w:p>
            <w:pPr>
              <w:keepNext w:val="0"/>
              <w:keepLines w:val="0"/>
              <w:widowControl/>
              <w:suppressLineNumbers w:val="0"/>
              <w:jc w:val="center"/>
              <w:textAlignment w:val="center"/>
              <w:rPr>
                <w:rFonts w:hint="eastAsia" w:ascii="仿宋_GB2312" w:hAnsi="仿宋_GB2312" w:eastAsia="仿宋_GB2312" w:cs="仿宋_GB2312"/>
                <w:bCs/>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其他行政执法事项</w:t>
            </w:r>
          </w:p>
        </w:tc>
        <w:tc>
          <w:tcPr>
            <w:tcW w:w="5921" w:type="dxa"/>
            <w:vAlign w:val="center"/>
          </w:tcPr>
          <w:p>
            <w:pPr>
              <w:keepNext w:val="0"/>
              <w:keepLines w:val="0"/>
              <w:widowControl/>
              <w:numPr>
                <w:ilvl w:val="0"/>
                <w:numId w:val="0"/>
              </w:numPr>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p>
          <w:p>
            <w:pPr>
              <w:keepNext w:val="0"/>
              <w:keepLines w:val="0"/>
              <w:widowControl/>
              <w:numPr>
                <w:ilvl w:val="0"/>
                <w:numId w:val="0"/>
              </w:numPr>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【规范性文件】《最低生活保障审核确认办法》（民发〔2021〕57号，2021年7月1日开始实施。）</w:t>
            </w:r>
          </w:p>
          <w:p>
            <w:pPr>
              <w:keepNext w:val="0"/>
              <w:keepLines w:val="0"/>
              <w:widowControl/>
              <w:numPr>
                <w:ilvl w:val="0"/>
                <w:numId w:val="3"/>
              </w:numPr>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 xml:space="preserve"> 有条件的地方可按程序将最低生活保障审核确认权限下放至乡镇人民政府（街道办事处），县级民政部门加强监督指导。</w:t>
            </w:r>
            <w:r>
              <w:rPr>
                <w:rFonts w:hint="eastAsia" w:ascii="仿宋_GB2312" w:hAnsi="仿宋_GB2312" w:eastAsia="仿宋_GB2312" w:cs="仿宋_GB2312"/>
                <w:i w:val="0"/>
                <w:snapToGrid w:val="0"/>
                <w:color w:val="000000"/>
                <w:kern w:val="0"/>
                <w:sz w:val="21"/>
                <w:szCs w:val="21"/>
                <w:u w:val="none"/>
                <w:lang w:val="en-US" w:eastAsia="zh-CN" w:bidi="ar"/>
              </w:rPr>
              <w:br w:type="textWrapping"/>
            </w:r>
            <w:r>
              <w:rPr>
                <w:rFonts w:hint="eastAsia" w:ascii="仿宋_GB2312" w:hAnsi="仿宋_GB2312" w:eastAsia="仿宋_GB2312" w:cs="仿宋_GB2312"/>
                <w:i w:val="0"/>
                <w:snapToGrid w:val="0"/>
                <w:color w:val="000000"/>
                <w:kern w:val="0"/>
                <w:sz w:val="21"/>
                <w:szCs w:val="21"/>
                <w:u w:val="none"/>
                <w:lang w:val="en-US" w:eastAsia="zh-CN" w:bidi="ar"/>
              </w:rPr>
              <w:t xml:space="preserve">    【规范性文件】《陵川县社会救助审批权限下放工作实施方案的通知》（陵政办发〔2021〕28号，2021年5月31日实施。）</w:t>
            </w:r>
          </w:p>
          <w:p>
            <w:pPr>
              <w:keepNext w:val="0"/>
              <w:keepLines w:val="0"/>
              <w:widowControl/>
              <w:numPr>
                <w:ilvl w:val="0"/>
                <w:numId w:val="1"/>
              </w:numPr>
              <w:suppressLineNumbers w:val="0"/>
              <w:ind w:left="0" w:leftChars="0" w:firstLine="420" w:firstLineChars="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工作职责</w:t>
            </w:r>
          </w:p>
          <w:p>
            <w:pPr>
              <w:keepNext w:val="0"/>
              <w:keepLines w:val="0"/>
              <w:widowControl/>
              <w:numPr>
                <w:numId w:val="0"/>
              </w:numPr>
              <w:suppressLineNumbers w:val="0"/>
              <w:ind w:firstLine="420" w:firstLineChars="200"/>
              <w:jc w:val="left"/>
              <w:textAlignment w:val="center"/>
              <w:rPr>
                <w:rFonts w:hint="default"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三）县民政局职责。县民政局主要负责社会救助的政策宣传、业务培训、信息核对、监督检查、资金测算。指导各乡镇做好社会救助的动态管理、信息核查、申请审核审批工作，完成新增对象30%的抽查，对经办人员、村居干部近亲属备案的家庭要100%核查，做好社会救助信访件的转办督办核查工作。按照省市民政部门和县委县政府要求完成社会救助其它相关事务。</w:t>
            </w:r>
          </w:p>
          <w:p>
            <w:pPr>
              <w:keepNext w:val="0"/>
              <w:keepLines w:val="0"/>
              <w:widowControl/>
              <w:numPr>
                <w:ilvl w:val="0"/>
                <w:numId w:val="0"/>
              </w:numPr>
              <w:suppressLineNumbers w:val="0"/>
              <w:jc w:val="left"/>
              <w:textAlignment w:val="center"/>
              <w:rPr>
                <w:rFonts w:hint="default"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 xml:space="preserve">    五、监督管理</w:t>
            </w:r>
          </w:p>
          <w:p>
            <w:pPr>
              <w:keepNext w:val="0"/>
              <w:keepLines w:val="0"/>
              <w:widowControl/>
              <w:numPr>
                <w:ilvl w:val="0"/>
                <w:numId w:val="0"/>
              </w:numPr>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（二）县级备案管理。各乡镇应于每月15日前将审批后的社</w:t>
            </w:r>
          </w:p>
          <w:p>
            <w:pPr>
              <w:keepNext w:val="0"/>
              <w:keepLines w:val="0"/>
              <w:widowControl/>
              <w:numPr>
                <w:ilvl w:val="0"/>
                <w:numId w:val="0"/>
              </w:numPr>
              <w:suppressLineNumbers w:val="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会救助对象新增、注销变动花名表、资金发放审批表(纸质版一份及电子版)以及社会救助对象名单(电子版)报县民政局备案。</w:t>
            </w:r>
          </w:p>
          <w:p>
            <w:pPr>
              <w:keepNext w:val="0"/>
              <w:keepLines w:val="0"/>
              <w:widowControl/>
              <w:numPr>
                <w:ilvl w:val="0"/>
                <w:numId w:val="4"/>
              </w:numPr>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监督检查。乡镇要组织人员对村(居)的社会救助落实情况、近亲属备案制度进行随机抽查，及时发现和解决工作中存在的困难和问题。对来信来访、举报投诉的社会救助情况，及时调查核实，作出处理意见。县民政局每年会根据乡镇人口及经济状况，限额将临时救助资金拨付到乡镇，乡镇政府要统筹安排使用临时救助资金，超出部分自行负担。县民政局要对所有救助对象在政务网常年公开，加大社会救助对象的抽查比例，要不定期对乡镇审批工作进行检查，对救助对象不精准、审批程序不规范的要求限期整改、及时纠正。对在社会救助工作中存在滥用职权、优亲厚友、失职渎职等问题将依法依规进行处理，确保社会救助工作的公开、公平、公正。</w:t>
            </w:r>
          </w:p>
          <w:p>
            <w:pPr>
              <w:keepNext w:val="0"/>
              <w:keepLines w:val="0"/>
              <w:widowControl/>
              <w:numPr>
                <w:numId w:val="0"/>
              </w:numPr>
              <w:suppressLineNumbers w:val="0"/>
              <w:jc w:val="left"/>
              <w:textAlignment w:val="center"/>
              <w:rPr>
                <w:rFonts w:hint="default" w:ascii="仿宋_GB2312" w:hAnsi="仿宋_GB2312" w:eastAsia="仿宋_GB2312" w:cs="仿宋_GB2312"/>
                <w:i w:val="0"/>
                <w:snapToGrid w:val="0"/>
                <w:color w:val="000000"/>
                <w:kern w:val="0"/>
                <w:sz w:val="21"/>
                <w:szCs w:val="21"/>
                <w:u w:val="none"/>
                <w:lang w:val="en-US" w:eastAsia="zh-CN" w:bidi="ar"/>
              </w:rPr>
            </w:pPr>
          </w:p>
        </w:tc>
        <w:tc>
          <w:tcPr>
            <w:tcW w:w="1296" w:type="dxa"/>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陵川县民政局</w:t>
            </w:r>
          </w:p>
        </w:tc>
        <w:tc>
          <w:tcPr>
            <w:tcW w:w="1554" w:type="dxa"/>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i w:val="0"/>
                <w:snapToGrid w:val="0"/>
                <w:color w:val="000000"/>
                <w:kern w:val="0"/>
                <w:sz w:val="21"/>
                <w:szCs w:val="21"/>
                <w:u w:val="none"/>
                <w:lang w:val="en-US" w:eastAsia="zh-CN" w:bidi="ar"/>
              </w:rPr>
              <w:t>低保中心</w:t>
            </w:r>
          </w:p>
        </w:tc>
        <w:tc>
          <w:tcPr>
            <w:tcW w:w="1084" w:type="dxa"/>
            <w:vAlign w:val="center"/>
          </w:tcPr>
          <w:p>
            <w:pPr>
              <w:pStyle w:val="17"/>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929" w:type="dxa"/>
            <w:vAlign w:val="center"/>
          </w:tcPr>
          <w:p>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20</w:t>
            </w:r>
          </w:p>
        </w:tc>
        <w:tc>
          <w:tcPr>
            <w:tcW w:w="2057" w:type="dxa"/>
            <w:vAlign w:val="center"/>
          </w:tcPr>
          <w:p>
            <w:pPr>
              <w:keepNext w:val="0"/>
              <w:keepLines w:val="0"/>
              <w:widowControl/>
              <w:suppressLineNumbers w:val="0"/>
              <w:jc w:val="center"/>
              <w:textAlignment w:val="center"/>
              <w:rPr>
                <w:rFonts w:hint="eastAsia" w:ascii="仿宋_GB2312" w:hAnsi="仿宋_GB2312" w:eastAsia="仿宋_GB2312" w:cs="仿宋_GB2312"/>
                <w:bCs/>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特困人员供养的监管</w:t>
            </w:r>
          </w:p>
        </w:tc>
        <w:tc>
          <w:tcPr>
            <w:tcW w:w="1833" w:type="dxa"/>
            <w:vAlign w:val="center"/>
          </w:tcPr>
          <w:p>
            <w:pPr>
              <w:keepNext w:val="0"/>
              <w:keepLines w:val="0"/>
              <w:widowControl/>
              <w:suppressLineNumbers w:val="0"/>
              <w:jc w:val="center"/>
              <w:textAlignment w:val="center"/>
              <w:rPr>
                <w:rFonts w:hint="eastAsia" w:ascii="仿宋_GB2312" w:hAnsi="仿宋_GB2312" w:eastAsia="仿宋_GB2312" w:cs="仿宋_GB2312"/>
                <w:bCs/>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其他行政执法事项</w:t>
            </w:r>
          </w:p>
        </w:tc>
        <w:tc>
          <w:tcPr>
            <w:tcW w:w="5921" w:type="dxa"/>
            <w:vAlign w:val="center"/>
          </w:tcPr>
          <w:p>
            <w:pPr>
              <w:keepNext w:val="0"/>
              <w:keepLines w:val="0"/>
              <w:widowControl/>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【规范性文件】《特困人员认定办法》（民发〔2021〕43号，已经2021年4月15日民政部第8次部长办公会议审议通过，2021年7月1日施行。）</w:t>
            </w: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第二十八条  有条件的地方可将审核确认权限下放至乡镇人民政府（街道办事处），县级民政部门加强监督指导。</w:t>
            </w: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【规范性文件】《陵川县社会救助审批权限下放工作实施方案》（陵政办发〔2021〕28号，2021年5月31日实施。）</w:t>
            </w:r>
          </w:p>
          <w:p>
            <w:pPr>
              <w:keepNext w:val="0"/>
              <w:keepLines w:val="0"/>
              <w:widowControl/>
              <w:numPr>
                <w:numId w:val="0"/>
              </w:numPr>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二、工作职责</w:t>
            </w:r>
          </w:p>
          <w:p>
            <w:pPr>
              <w:keepNext w:val="0"/>
              <w:keepLines w:val="0"/>
              <w:widowControl/>
              <w:numPr>
                <w:ilvl w:val="0"/>
                <w:numId w:val="0"/>
              </w:numPr>
              <w:suppressLineNumbers w:val="0"/>
              <w:ind w:firstLine="420" w:firstLineChars="200"/>
              <w:jc w:val="left"/>
              <w:textAlignment w:val="center"/>
              <w:rPr>
                <w:rFonts w:hint="default"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三）县民政局职责。县民政局主要负责社会救助的政策宣传、业务培训、信息核对、监督检查、资金测算。指导各乡镇做好社会救助的动态管理、信息核查、申请审核审批工作，完成新增对象30%的抽查，对经办人员、村居干部近亲属备案的家庭要100%核查，做好社会救助信访件的转办督办核查工作。按照省市民政部门和县委县政府要求完成社会救助其它相关事务。</w:t>
            </w:r>
          </w:p>
          <w:p>
            <w:pPr>
              <w:keepNext w:val="0"/>
              <w:keepLines w:val="0"/>
              <w:widowControl/>
              <w:numPr>
                <w:ilvl w:val="0"/>
                <w:numId w:val="0"/>
              </w:numPr>
              <w:suppressLineNumbers w:val="0"/>
              <w:jc w:val="left"/>
              <w:textAlignment w:val="center"/>
              <w:rPr>
                <w:rFonts w:hint="default"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 xml:space="preserve">    五、监督管理</w:t>
            </w:r>
          </w:p>
          <w:p>
            <w:pPr>
              <w:keepNext w:val="0"/>
              <w:keepLines w:val="0"/>
              <w:widowControl/>
              <w:numPr>
                <w:ilvl w:val="0"/>
                <w:numId w:val="0"/>
              </w:numPr>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（二）县级备案管理。各乡镇应于每月15日前将审批后的社</w:t>
            </w:r>
          </w:p>
          <w:p>
            <w:pPr>
              <w:keepNext w:val="0"/>
              <w:keepLines w:val="0"/>
              <w:widowControl/>
              <w:numPr>
                <w:ilvl w:val="0"/>
                <w:numId w:val="0"/>
              </w:numPr>
              <w:suppressLineNumbers w:val="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会救助对象新增、注销变动花名表、资金发放审批表(纸质版一份及电子版)以及社会救助对象名单(电子版)报县民政局备案。</w:t>
            </w:r>
          </w:p>
          <w:p>
            <w:pPr>
              <w:keepNext w:val="0"/>
              <w:keepLines w:val="0"/>
              <w:widowControl/>
              <w:numPr>
                <w:numId w:val="0"/>
              </w:numPr>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五）监督检查。乡镇要组织人员对村(居)的社会救助落实情况、近亲属备案制度进行随机抽查，及时发现和解决工作中存在的困难和问题。对来信来访、举报投诉的社会救助情况，及时调查核实，作出处理意见。县民政局每年会根据乡镇人口及经济状况，限额将临时救助资金拨付到乡镇，乡镇政府要统筹安排使用临时救助资金，超出部分自行负担。县民政局要对所有救助对象在政务网常年公开，加大社会救助对象的抽查比例，要不定期对乡镇审批工作进行检查，对救助对象不精准、审批程序不规范的要求限期整改、及时纠正。对在社会救助工作中存在滥用职权、优亲厚友、失职渎职等问题将依法依规进行处理，确保社会救助工作的公开、公平、公正。</w:t>
            </w: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p>
          <w:p>
            <w:pPr>
              <w:keepNext w:val="0"/>
              <w:keepLines w:val="0"/>
              <w:widowControl/>
              <w:suppressLineNumbers w:val="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p>
          <w:p>
            <w:pPr>
              <w:keepNext w:val="0"/>
              <w:keepLines w:val="0"/>
              <w:widowControl/>
              <w:suppressLineNumbers w:val="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p>
        </w:tc>
        <w:tc>
          <w:tcPr>
            <w:tcW w:w="1296" w:type="dxa"/>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陵川县民政局</w:t>
            </w:r>
          </w:p>
        </w:tc>
        <w:tc>
          <w:tcPr>
            <w:tcW w:w="1554" w:type="dxa"/>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社救股</w:t>
            </w:r>
          </w:p>
        </w:tc>
        <w:tc>
          <w:tcPr>
            <w:tcW w:w="1084" w:type="dxa"/>
            <w:vAlign w:val="center"/>
          </w:tcPr>
          <w:p>
            <w:pPr>
              <w:pStyle w:val="17"/>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9" w:hRule="atLeast"/>
        </w:trPr>
        <w:tc>
          <w:tcPr>
            <w:tcW w:w="929" w:type="dxa"/>
            <w:vAlign w:val="center"/>
          </w:tcPr>
          <w:p>
            <w:pPr>
              <w:pStyle w:val="17"/>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21</w:t>
            </w:r>
          </w:p>
        </w:tc>
        <w:tc>
          <w:tcPr>
            <w:tcW w:w="2057" w:type="dxa"/>
            <w:vAlign w:val="center"/>
          </w:tcPr>
          <w:p>
            <w:pPr>
              <w:keepNext w:val="0"/>
              <w:keepLines w:val="0"/>
              <w:widowControl/>
              <w:suppressLineNumbers w:val="0"/>
              <w:jc w:val="center"/>
              <w:textAlignment w:val="center"/>
              <w:rPr>
                <w:rFonts w:hint="eastAsia" w:ascii="仿宋_GB2312" w:hAnsi="仿宋_GB2312" w:eastAsia="仿宋_GB2312" w:cs="仿宋_GB2312"/>
                <w:bCs/>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临时救助</w:t>
            </w:r>
          </w:p>
        </w:tc>
        <w:tc>
          <w:tcPr>
            <w:tcW w:w="1833" w:type="dxa"/>
            <w:vAlign w:val="center"/>
          </w:tcPr>
          <w:p>
            <w:pPr>
              <w:keepNext w:val="0"/>
              <w:keepLines w:val="0"/>
              <w:widowControl/>
              <w:suppressLineNumbers w:val="0"/>
              <w:jc w:val="center"/>
              <w:textAlignment w:val="center"/>
              <w:rPr>
                <w:rFonts w:hint="eastAsia" w:ascii="仿宋_GB2312" w:hAnsi="仿宋_GB2312" w:eastAsia="仿宋_GB2312" w:cs="仿宋_GB2312"/>
                <w:bCs/>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其他行政执法事项</w:t>
            </w:r>
          </w:p>
        </w:tc>
        <w:tc>
          <w:tcPr>
            <w:tcW w:w="5921" w:type="dxa"/>
            <w:vAlign w:val="center"/>
          </w:tcPr>
          <w:p>
            <w:pPr>
              <w:keepNext w:val="0"/>
              <w:keepLines w:val="0"/>
              <w:widowControl/>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p>
          <w:p>
            <w:pPr>
              <w:keepNext w:val="0"/>
              <w:keepLines w:val="0"/>
              <w:widowControl/>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【部门规章】《社会救助暂行办法》（2014年5月1日民政部令第649号发布施行;依据2019年3月2日《国务院关于修改部分行政法规的决定》（国务院令第709号）修订。）</w:t>
            </w:r>
            <w:r>
              <w:rPr>
                <w:rFonts w:hint="eastAsia" w:ascii="仿宋_GB2312" w:hAnsi="仿宋_GB2312" w:eastAsia="仿宋_GB2312" w:cs="仿宋_GB2312"/>
                <w:i w:val="0"/>
                <w:snapToGrid w:val="0"/>
                <w:color w:val="000000"/>
                <w:kern w:val="0"/>
                <w:sz w:val="21"/>
                <w:szCs w:val="21"/>
                <w:u w:val="none"/>
                <w:lang w:val="en-US" w:eastAsia="zh-CN" w:bidi="ar"/>
              </w:rPr>
              <w:br w:type="textWrapping"/>
            </w:r>
            <w:r>
              <w:rPr>
                <w:rFonts w:hint="eastAsia" w:ascii="仿宋_GB2312" w:hAnsi="仿宋_GB2312" w:eastAsia="仿宋_GB2312" w:cs="仿宋_GB2312"/>
                <w:i w:val="0"/>
                <w:snapToGrid w:val="0"/>
                <w:color w:val="000000"/>
                <w:kern w:val="0"/>
                <w:sz w:val="21"/>
                <w:szCs w:val="21"/>
                <w:u w:val="none"/>
                <w:lang w:val="en-US" w:eastAsia="zh-CN" w:bidi="ar"/>
              </w:rPr>
              <w:t xml:space="preserve">    第四十七条 国家对因火灾、交通事故等意外事件，家庭成员突发重大疾病等原因，导致基本生活暂时出现严重困难的家庭，或者因生活必需支出突然增加超出家庭承受能力，导致基本生活暂时出现严重困难的最低生活保障家庭，以及遭遇其他特殊困难的家庭，给予临时救助。</w:t>
            </w:r>
            <w:r>
              <w:rPr>
                <w:rFonts w:hint="eastAsia" w:ascii="仿宋_GB2312" w:hAnsi="仿宋_GB2312" w:eastAsia="仿宋_GB2312" w:cs="仿宋_GB2312"/>
                <w:i w:val="0"/>
                <w:snapToGrid w:val="0"/>
                <w:color w:val="000000"/>
                <w:kern w:val="0"/>
                <w:sz w:val="21"/>
                <w:szCs w:val="21"/>
                <w:u w:val="none"/>
                <w:lang w:val="en-US" w:eastAsia="zh-CN" w:bidi="ar"/>
              </w:rPr>
              <w:br w:type="textWrapping"/>
            </w:r>
            <w:r>
              <w:rPr>
                <w:rFonts w:hint="eastAsia" w:ascii="仿宋_GB2312" w:hAnsi="仿宋_GB2312" w:eastAsia="仿宋_GB2312" w:cs="仿宋_GB2312"/>
                <w:i w:val="0"/>
                <w:snapToGrid w:val="0"/>
                <w:color w:val="000000"/>
                <w:kern w:val="0"/>
                <w:sz w:val="21"/>
                <w:szCs w:val="21"/>
                <w:u w:val="none"/>
                <w:lang w:val="en-US" w:eastAsia="zh-CN" w:bidi="ar"/>
              </w:rPr>
              <w:t xml:space="preserve">    第四十八条 申请临时救助的，应当向乡镇人民政府、街道办事处提出，经审核、公示后，由县级人民政府民政部门审批;救助金额较小的，县级人民政府民政部门可以委托乡镇人民政府、街道办事处审批。情况紧急的，可以按照规定简化审批手续。</w:t>
            </w:r>
            <w:r>
              <w:rPr>
                <w:rFonts w:hint="eastAsia" w:ascii="仿宋_GB2312" w:hAnsi="仿宋_GB2312" w:eastAsia="仿宋_GB2312" w:cs="仿宋_GB2312"/>
                <w:i w:val="0"/>
                <w:snapToGrid w:val="0"/>
                <w:color w:val="000000"/>
                <w:kern w:val="0"/>
                <w:sz w:val="21"/>
                <w:szCs w:val="21"/>
                <w:u w:val="none"/>
                <w:lang w:val="en-US" w:eastAsia="zh-CN" w:bidi="ar"/>
              </w:rPr>
              <w:br w:type="textWrapping"/>
            </w:r>
            <w:r>
              <w:rPr>
                <w:rFonts w:hint="eastAsia" w:ascii="仿宋_GB2312" w:hAnsi="仿宋_GB2312" w:eastAsia="仿宋_GB2312" w:cs="仿宋_GB2312"/>
                <w:i w:val="0"/>
                <w:snapToGrid w:val="0"/>
                <w:color w:val="000000"/>
                <w:kern w:val="0"/>
                <w:sz w:val="21"/>
                <w:szCs w:val="21"/>
                <w:u w:val="none"/>
                <w:lang w:val="en-US" w:eastAsia="zh-CN" w:bidi="ar"/>
              </w:rPr>
              <w:t xml:space="preserve">    【规范性文件】《陵川县社会救助审批权限下放工作实施方案》（陵政办发〔2021〕28号）</w:t>
            </w:r>
          </w:p>
          <w:p>
            <w:pPr>
              <w:keepNext w:val="0"/>
              <w:keepLines w:val="0"/>
              <w:widowControl/>
              <w:numPr>
                <w:ilvl w:val="0"/>
                <w:numId w:val="0"/>
              </w:numPr>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二、工作职责</w:t>
            </w:r>
          </w:p>
          <w:p>
            <w:pPr>
              <w:keepNext w:val="0"/>
              <w:keepLines w:val="0"/>
              <w:widowControl/>
              <w:numPr>
                <w:ilvl w:val="0"/>
                <w:numId w:val="0"/>
              </w:numPr>
              <w:suppressLineNumbers w:val="0"/>
              <w:ind w:firstLine="420" w:firstLineChars="200"/>
              <w:jc w:val="left"/>
              <w:textAlignment w:val="center"/>
              <w:rPr>
                <w:rFonts w:hint="default"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三）县民政局职责。县民政局主要负责社会救助的政策宣传、业务培训、信息核对、监督检查、资金测算。指导各乡镇做好社会救助的动态管理、信息核查、申请审核审批工作，完成新增对象30%的抽查，对经办人员、村居干部近亲属备案的家庭要100%核查，做好社会救助信访件的转办督办核查工作。按照省市民政部门和县委县政府要求完成社会救助其它相关事务。</w:t>
            </w:r>
          </w:p>
          <w:p>
            <w:pPr>
              <w:keepNext w:val="0"/>
              <w:keepLines w:val="0"/>
              <w:widowControl/>
              <w:numPr>
                <w:ilvl w:val="0"/>
                <w:numId w:val="0"/>
              </w:numPr>
              <w:suppressLineNumbers w:val="0"/>
              <w:jc w:val="left"/>
              <w:textAlignment w:val="center"/>
              <w:rPr>
                <w:rFonts w:hint="default"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 xml:space="preserve">    五、监督管理</w:t>
            </w:r>
          </w:p>
          <w:p>
            <w:pPr>
              <w:keepNext w:val="0"/>
              <w:keepLines w:val="0"/>
              <w:widowControl/>
              <w:numPr>
                <w:ilvl w:val="0"/>
                <w:numId w:val="0"/>
              </w:numPr>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（二）县级备案管理。各乡镇应于每月15日前将审批后的社</w:t>
            </w:r>
          </w:p>
          <w:p>
            <w:pPr>
              <w:keepNext w:val="0"/>
              <w:keepLines w:val="0"/>
              <w:widowControl/>
              <w:numPr>
                <w:ilvl w:val="0"/>
                <w:numId w:val="0"/>
              </w:numPr>
              <w:suppressLineNumbers w:val="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会救助对象新增、注销变动花名表、资金发放审批表(纸质版一份及电子版)以及社会救助对象名单(电子版)报县民政局备案。</w:t>
            </w:r>
          </w:p>
          <w:p>
            <w:pPr>
              <w:keepNext w:val="0"/>
              <w:keepLines w:val="0"/>
              <w:widowControl/>
              <w:numPr>
                <w:ilvl w:val="0"/>
                <w:numId w:val="0"/>
              </w:numPr>
              <w:suppressLineNumbers w:val="0"/>
              <w:ind w:firstLine="420" w:firstLineChars="20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r>
              <w:rPr>
                <w:rFonts w:hint="eastAsia" w:ascii="仿宋_GB2312" w:hAnsi="仿宋_GB2312" w:eastAsia="仿宋_GB2312" w:cs="仿宋_GB2312"/>
                <w:i w:val="0"/>
                <w:snapToGrid w:val="0"/>
                <w:color w:val="000000"/>
                <w:kern w:val="0"/>
                <w:sz w:val="21"/>
                <w:szCs w:val="21"/>
                <w:u w:val="none"/>
                <w:lang w:val="en-US" w:eastAsia="zh-CN" w:bidi="ar"/>
              </w:rPr>
              <w:t>（五）监督检查。乡镇要组织人员对村(居)的社会救助落实情况、近亲属备案制度进行随机抽查，及时发现和解决工作中存在的困难和问题。对来信来访、举报投诉的社会救助情况，及时调查核实，作出处理意见。县民政局每年会根据乡镇人口及经济状况，限额将临时救助资金拨付到乡镇，乡镇政府要统筹安排使用临时救助资金，超出部分自行负担。县民政局要对所有救助对象在政务网常年公开，加大社会救助对象的抽查比例，要不定期对乡镇审批工作进行检查，对救助对象不精准、审批程序不规范的要求限期整改、及时纠正。对在社会救助工作中存在滥用职权、优亲厚友、失职渎职等问题将依法依规进行处理，确保社会救助工作的公开、公平、公正。</w:t>
            </w:r>
          </w:p>
          <w:p>
            <w:pPr>
              <w:keepNext w:val="0"/>
              <w:keepLines w:val="0"/>
              <w:widowControl/>
              <w:suppressLineNumbers w:val="0"/>
              <w:jc w:val="left"/>
              <w:textAlignment w:val="center"/>
              <w:rPr>
                <w:rFonts w:hint="eastAsia" w:ascii="仿宋_GB2312" w:hAnsi="仿宋_GB2312" w:eastAsia="仿宋_GB2312" w:cs="仿宋_GB2312"/>
                <w:i w:val="0"/>
                <w:snapToGrid w:val="0"/>
                <w:color w:val="000000"/>
                <w:kern w:val="0"/>
                <w:sz w:val="21"/>
                <w:szCs w:val="21"/>
                <w:u w:val="none"/>
                <w:lang w:val="en-US" w:eastAsia="zh-CN" w:bidi="ar"/>
              </w:rPr>
            </w:pPr>
            <w:bookmarkStart w:id="0" w:name="_GoBack"/>
            <w:bookmarkEnd w:id="0"/>
          </w:p>
        </w:tc>
        <w:tc>
          <w:tcPr>
            <w:tcW w:w="1296" w:type="dxa"/>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i w:val="0"/>
                <w:snapToGrid w:val="0"/>
                <w:color w:val="000000"/>
                <w:kern w:val="0"/>
                <w:sz w:val="21"/>
                <w:szCs w:val="21"/>
                <w:u w:val="none"/>
                <w:lang w:val="en-US" w:eastAsia="zh-CN" w:bidi="ar"/>
              </w:rPr>
              <w:t>陵川县民政局</w:t>
            </w:r>
          </w:p>
        </w:tc>
        <w:tc>
          <w:tcPr>
            <w:tcW w:w="1554" w:type="dxa"/>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i w:val="0"/>
                <w:snapToGrid w:val="0"/>
                <w:color w:val="000000"/>
                <w:kern w:val="0"/>
                <w:sz w:val="21"/>
                <w:szCs w:val="21"/>
                <w:u w:val="none"/>
                <w:lang w:val="en-US" w:eastAsia="zh-CN" w:bidi="ar"/>
              </w:rPr>
              <w:t>社救股</w:t>
            </w:r>
          </w:p>
        </w:tc>
        <w:tc>
          <w:tcPr>
            <w:tcW w:w="1084" w:type="dxa"/>
            <w:vAlign w:val="center"/>
          </w:tcPr>
          <w:p>
            <w:pPr>
              <w:pStyle w:val="17"/>
              <w:jc w:val="center"/>
              <w:rPr>
                <w:rFonts w:hint="eastAsia" w:ascii="仿宋_GB2312" w:hAnsi="仿宋_GB2312" w:eastAsia="仿宋_GB2312" w:cs="仿宋_GB2312"/>
                <w:sz w:val="21"/>
                <w:szCs w:val="21"/>
              </w:rPr>
            </w:pPr>
          </w:p>
        </w:tc>
      </w:tr>
    </w:tbl>
    <w:p>
      <w:pPr>
        <w:spacing w:before="67" w:line="219" w:lineRule="auto"/>
        <w:rPr>
          <w:rFonts w:ascii="宋体" w:hAnsi="宋体" w:eastAsia="宋体" w:cs="宋体"/>
          <w:sz w:val="31"/>
          <w:szCs w:val="31"/>
        </w:rPr>
      </w:pPr>
      <w:r>
        <w:rPr>
          <w:rFonts w:ascii="宋体" w:hAnsi="宋体" w:eastAsia="宋体" w:cs="宋体"/>
          <w:spacing w:val="9"/>
          <w:sz w:val="31"/>
          <w:szCs w:val="31"/>
        </w:rPr>
        <w:t>注</w:t>
      </w:r>
      <w:r>
        <w:rPr>
          <w:rFonts w:hint="eastAsia" w:ascii="宋体" w:hAnsi="宋体" w:eastAsia="宋体" w:cs="宋体"/>
          <w:spacing w:val="9"/>
          <w:sz w:val="31"/>
          <w:szCs w:val="31"/>
          <w:lang w:eastAsia="zh-CN"/>
        </w:rPr>
        <w:t>：</w:t>
      </w:r>
      <w:r>
        <w:rPr>
          <w:rFonts w:hint="eastAsia" w:ascii="仿宋" w:hAnsi="仿宋" w:eastAsia="仿宋" w:cs="仿宋"/>
          <w:spacing w:val="9"/>
          <w:sz w:val="30"/>
          <w:szCs w:val="30"/>
        </w:rPr>
        <w:t>1.事项名称填写的格式为“对</w:t>
      </w:r>
      <w:r>
        <w:rPr>
          <w:rFonts w:hint="eastAsia" w:ascii="仿宋" w:hAnsi="仿宋" w:eastAsia="仿宋" w:cs="仿宋"/>
          <w:sz w:val="30"/>
          <w:szCs w:val="30"/>
        </w:rPr>
        <w:t>XXX</w:t>
      </w:r>
      <w:r>
        <w:rPr>
          <w:rFonts w:hint="eastAsia" w:ascii="仿宋" w:hAnsi="仿宋" w:eastAsia="仿宋" w:cs="仿宋"/>
          <w:spacing w:val="9"/>
          <w:sz w:val="30"/>
          <w:szCs w:val="30"/>
        </w:rPr>
        <w:t>的行政处罚(强制......)”</w:t>
      </w:r>
    </w:p>
    <w:p>
      <w:pPr>
        <w:pStyle w:val="2"/>
        <w:spacing w:before="25"/>
        <w:ind w:right="52" w:firstLine="660" w:firstLineChars="200"/>
        <w:rPr>
          <w:sz w:val="30"/>
          <w:szCs w:val="30"/>
        </w:rPr>
      </w:pPr>
      <w:r>
        <w:rPr>
          <w:spacing w:val="15"/>
          <w:sz w:val="30"/>
          <w:szCs w:val="30"/>
        </w:rPr>
        <w:t>2.事项类型：</w:t>
      </w:r>
      <w:r>
        <w:rPr>
          <w:spacing w:val="50"/>
          <w:sz w:val="30"/>
          <w:szCs w:val="30"/>
        </w:rPr>
        <w:t xml:space="preserve"> </w:t>
      </w:r>
      <w:r>
        <w:rPr>
          <w:color w:val="auto"/>
          <w:spacing w:val="15"/>
          <w:sz w:val="30"/>
          <w:szCs w:val="30"/>
        </w:rPr>
        <w:t>行</w:t>
      </w:r>
      <w:r>
        <w:rPr>
          <w:spacing w:val="15"/>
          <w:sz w:val="30"/>
          <w:szCs w:val="30"/>
        </w:rPr>
        <w:t>政处罚、行政许可、行政征收征用</w:t>
      </w:r>
      <w:r>
        <w:rPr>
          <w:color w:val="auto"/>
          <w:spacing w:val="15"/>
          <w:sz w:val="30"/>
          <w:szCs w:val="30"/>
        </w:rPr>
        <w:t>、</w:t>
      </w:r>
      <w:r>
        <w:rPr>
          <w:color w:val="auto"/>
          <w:spacing w:val="-87"/>
          <w:sz w:val="30"/>
          <w:szCs w:val="30"/>
        </w:rPr>
        <w:t xml:space="preserve"> </w:t>
      </w:r>
      <w:r>
        <w:rPr>
          <w:spacing w:val="15"/>
          <w:sz w:val="30"/>
          <w:szCs w:val="30"/>
        </w:rPr>
        <w:t>行政确认、行政给付、行政强制、行</w:t>
      </w:r>
      <w:r>
        <w:rPr>
          <w:spacing w:val="14"/>
          <w:sz w:val="30"/>
          <w:szCs w:val="30"/>
        </w:rPr>
        <w:t>政检查及</w:t>
      </w:r>
      <w:r>
        <w:rPr>
          <w:sz w:val="30"/>
          <w:szCs w:val="30"/>
        </w:rPr>
        <w:t xml:space="preserve"> </w:t>
      </w:r>
      <w:r>
        <w:rPr>
          <w:spacing w:val="11"/>
          <w:sz w:val="30"/>
          <w:szCs w:val="30"/>
        </w:rPr>
        <w:t>其他行政执法事项等；</w:t>
      </w:r>
    </w:p>
    <w:p>
      <w:pPr>
        <w:pStyle w:val="2"/>
        <w:spacing w:before="31" w:line="189" w:lineRule="auto"/>
        <w:ind w:firstLine="680" w:firstLineChars="200"/>
        <w:rPr>
          <w:rFonts w:hint="eastAsia"/>
          <w:spacing w:val="20"/>
          <w:sz w:val="30"/>
          <w:szCs w:val="30"/>
          <w:lang w:eastAsia="zh-CN"/>
        </w:rPr>
      </w:pPr>
      <w:r>
        <w:rPr>
          <w:spacing w:val="20"/>
          <w:sz w:val="30"/>
          <w:szCs w:val="30"/>
        </w:rPr>
        <w:t>3.责任主体和实施主体均要填写单位规范全称</w:t>
      </w:r>
      <w:r>
        <w:rPr>
          <w:rFonts w:hint="eastAsia"/>
          <w:spacing w:val="20"/>
          <w:sz w:val="30"/>
          <w:szCs w:val="30"/>
          <w:lang w:eastAsia="zh-CN"/>
        </w:rPr>
        <w:t>；</w:t>
      </w:r>
    </w:p>
    <w:p>
      <w:pPr>
        <w:pStyle w:val="2"/>
        <w:spacing w:before="31" w:line="189" w:lineRule="auto"/>
        <w:ind w:firstLine="680" w:firstLineChars="200"/>
        <w:rPr>
          <w:rFonts w:hint="default"/>
          <w:spacing w:val="20"/>
          <w:sz w:val="30"/>
          <w:szCs w:val="30"/>
          <w:lang w:val="en-US" w:eastAsia="zh-CN"/>
        </w:rPr>
        <w:sectPr>
          <w:type w:val="continuous"/>
          <w:pgSz w:w="16820" w:h="11900"/>
          <w:pgMar w:top="1011" w:right="1205" w:bottom="400" w:left="929" w:header="0" w:footer="0" w:gutter="0"/>
          <w:pgNumType w:fmt="decimal"/>
          <w:cols w:equalWidth="0" w:num="1">
            <w:col w:w="14685"/>
          </w:cols>
        </w:sectPr>
      </w:pPr>
      <w:r>
        <w:rPr>
          <w:rFonts w:hint="eastAsia"/>
          <w:spacing w:val="20"/>
          <w:sz w:val="30"/>
          <w:szCs w:val="30"/>
          <w:lang w:val="en-US" w:eastAsia="zh-CN"/>
        </w:rPr>
        <w:t>4.涉企执法事项需在备注中体现。</w:t>
      </w:r>
    </w:p>
    <w:p>
      <w:pPr>
        <w:spacing w:line="142" w:lineRule="exact"/>
      </w:pPr>
    </w:p>
    <w:p>
      <w:pPr>
        <w:spacing w:line="14" w:lineRule="auto"/>
        <w:rPr>
          <w:rFonts w:ascii="Arial"/>
          <w:sz w:val="2"/>
        </w:rPr>
      </w:pPr>
    </w:p>
    <w:sectPr>
      <w:type w:val="continuous"/>
      <w:pgSz w:w="16820" w:h="11900"/>
      <w:pgMar w:top="1011" w:right="1025" w:bottom="400" w:left="994" w:header="0" w:footer="0" w:gutter="0"/>
      <w:pgNumType w:fmt="decimal"/>
      <w:cols w:equalWidth="0" w:num="1">
        <w:col w:w="1480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0042B2"/>
    <w:multiLevelType w:val="singleLevel"/>
    <w:tmpl w:val="9B0042B2"/>
    <w:lvl w:ilvl="0" w:tentative="0">
      <w:start w:val="2"/>
      <w:numFmt w:val="chineseCounting"/>
      <w:suff w:val="space"/>
      <w:lvlText w:val="第%1条"/>
      <w:lvlJc w:val="left"/>
      <w:rPr>
        <w:rFonts w:hint="eastAsia"/>
      </w:rPr>
    </w:lvl>
  </w:abstractNum>
  <w:abstractNum w:abstractNumId="1">
    <w:nsid w:val="AF255CD0"/>
    <w:multiLevelType w:val="singleLevel"/>
    <w:tmpl w:val="AF255CD0"/>
    <w:lvl w:ilvl="0" w:tentative="0">
      <w:start w:val="10"/>
      <w:numFmt w:val="chineseCounting"/>
      <w:suff w:val="space"/>
      <w:lvlText w:val="第%1条"/>
      <w:lvlJc w:val="left"/>
      <w:rPr>
        <w:rFonts w:hint="eastAsia"/>
      </w:rPr>
    </w:lvl>
  </w:abstractNum>
  <w:abstractNum w:abstractNumId="2">
    <w:nsid w:val="27915F99"/>
    <w:multiLevelType w:val="singleLevel"/>
    <w:tmpl w:val="27915F99"/>
    <w:lvl w:ilvl="0" w:tentative="0">
      <w:start w:val="1"/>
      <w:numFmt w:val="chineseCounting"/>
      <w:suff w:val="nothing"/>
      <w:lvlText w:val="%1、"/>
      <w:lvlJc w:val="left"/>
      <w:rPr>
        <w:rFonts w:hint="eastAsia"/>
      </w:rPr>
    </w:lvl>
  </w:abstractNum>
  <w:abstractNum w:abstractNumId="3">
    <w:nsid w:val="544A132B"/>
    <w:multiLevelType w:val="singleLevel"/>
    <w:tmpl w:val="544A132B"/>
    <w:lvl w:ilvl="0" w:tentative="0">
      <w:start w:val="5"/>
      <w:numFmt w:val="chineseCounting"/>
      <w:suff w:val="nothing"/>
      <w:lvlText w:val="（%1）"/>
      <w:lvlJc w:val="left"/>
      <w:rPr>
        <w:rFonts w:hint="eastAsia"/>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doNotExpandShiftReturn/>
    <w:doNotWrapTextWithPunct/>
    <w:doNotUseEastAsianBreakRules/>
    <w:useFELayout/>
    <w:doNotUseIndentAsNumberingTabStop/>
    <w:useAltKinsokuLineBreakRules/>
    <w:compatSetting w:name="compatibilityMode" w:uri="http://schemas.microsoft.com/office/word" w:val="14"/>
  </w:compat>
  <w:docVars>
    <w:docVar w:name="commondata" w:val="eyJoZGlkIjoiNmI3MjFmMmZkZWNmNzk0OTUyZjU5MDE3OTZiMmUwMzEifQ=="/>
  </w:docVars>
  <w:rsids>
    <w:rsidRoot w:val="00000000"/>
    <w:rsid w:val="00AB35C0"/>
    <w:rsid w:val="00AC76FA"/>
    <w:rsid w:val="00B31194"/>
    <w:rsid w:val="017E5359"/>
    <w:rsid w:val="01BA1101"/>
    <w:rsid w:val="01CF562D"/>
    <w:rsid w:val="03F02791"/>
    <w:rsid w:val="04FA5D09"/>
    <w:rsid w:val="05C433DA"/>
    <w:rsid w:val="0622362E"/>
    <w:rsid w:val="0A7D5A2F"/>
    <w:rsid w:val="0ACB0B09"/>
    <w:rsid w:val="0BE040C9"/>
    <w:rsid w:val="0BF05A14"/>
    <w:rsid w:val="0BF96AC4"/>
    <w:rsid w:val="0E9E44B5"/>
    <w:rsid w:val="0F81504A"/>
    <w:rsid w:val="106D374C"/>
    <w:rsid w:val="128117AC"/>
    <w:rsid w:val="12FA57BA"/>
    <w:rsid w:val="135930A4"/>
    <w:rsid w:val="17555493"/>
    <w:rsid w:val="17766135"/>
    <w:rsid w:val="18022764"/>
    <w:rsid w:val="189F7A56"/>
    <w:rsid w:val="1B5337B3"/>
    <w:rsid w:val="1D4110DC"/>
    <w:rsid w:val="1D890952"/>
    <w:rsid w:val="1E1F37F9"/>
    <w:rsid w:val="1E2C3FE1"/>
    <w:rsid w:val="1EEE743A"/>
    <w:rsid w:val="21B86811"/>
    <w:rsid w:val="221B5875"/>
    <w:rsid w:val="22737A7B"/>
    <w:rsid w:val="238D67AE"/>
    <w:rsid w:val="247D6244"/>
    <w:rsid w:val="26466AFB"/>
    <w:rsid w:val="27D21840"/>
    <w:rsid w:val="291F1F40"/>
    <w:rsid w:val="2A580BF9"/>
    <w:rsid w:val="2BBA1906"/>
    <w:rsid w:val="2E3539E9"/>
    <w:rsid w:val="2ED73DE4"/>
    <w:rsid w:val="30B844EB"/>
    <w:rsid w:val="31DB6D80"/>
    <w:rsid w:val="327C0F63"/>
    <w:rsid w:val="32F67202"/>
    <w:rsid w:val="33DC2228"/>
    <w:rsid w:val="3429710D"/>
    <w:rsid w:val="3689611A"/>
    <w:rsid w:val="36AC3AB1"/>
    <w:rsid w:val="3A3038B9"/>
    <w:rsid w:val="3B9649FE"/>
    <w:rsid w:val="3BAF52AB"/>
    <w:rsid w:val="3C8446EA"/>
    <w:rsid w:val="40A2463F"/>
    <w:rsid w:val="41294C7E"/>
    <w:rsid w:val="43351360"/>
    <w:rsid w:val="43F64A2C"/>
    <w:rsid w:val="44BE2144"/>
    <w:rsid w:val="4538362F"/>
    <w:rsid w:val="45F70637"/>
    <w:rsid w:val="468F4BA0"/>
    <w:rsid w:val="46C93056"/>
    <w:rsid w:val="48B23F47"/>
    <w:rsid w:val="48CA65BD"/>
    <w:rsid w:val="49423962"/>
    <w:rsid w:val="49EA2591"/>
    <w:rsid w:val="4A296713"/>
    <w:rsid w:val="4A2F2FDE"/>
    <w:rsid w:val="4E6A7ED2"/>
    <w:rsid w:val="4FC203DB"/>
    <w:rsid w:val="4FFB421D"/>
    <w:rsid w:val="50477EA0"/>
    <w:rsid w:val="504A2B51"/>
    <w:rsid w:val="51FE1C6B"/>
    <w:rsid w:val="5228506C"/>
    <w:rsid w:val="55242BD3"/>
    <w:rsid w:val="55F4430B"/>
    <w:rsid w:val="56AC62E7"/>
    <w:rsid w:val="5858242F"/>
    <w:rsid w:val="58AB1E75"/>
    <w:rsid w:val="5A5F573F"/>
    <w:rsid w:val="5B3B0077"/>
    <w:rsid w:val="5BA32E24"/>
    <w:rsid w:val="5CC20CB0"/>
    <w:rsid w:val="5CCB1894"/>
    <w:rsid w:val="5D0B4DA2"/>
    <w:rsid w:val="5D3D4352"/>
    <w:rsid w:val="5EDA4E15"/>
    <w:rsid w:val="5F920980"/>
    <w:rsid w:val="5FE4691F"/>
    <w:rsid w:val="62C21687"/>
    <w:rsid w:val="67A410C8"/>
    <w:rsid w:val="68605A75"/>
    <w:rsid w:val="69281658"/>
    <w:rsid w:val="6975001C"/>
    <w:rsid w:val="6A2E78BF"/>
    <w:rsid w:val="6A690733"/>
    <w:rsid w:val="6B0A0EA4"/>
    <w:rsid w:val="6CC66B8F"/>
    <w:rsid w:val="6DD359C2"/>
    <w:rsid w:val="6DF464FE"/>
    <w:rsid w:val="6FFE3EC6"/>
    <w:rsid w:val="72EF594D"/>
    <w:rsid w:val="731314F8"/>
    <w:rsid w:val="73DB2C12"/>
    <w:rsid w:val="745164ED"/>
    <w:rsid w:val="78E52CD7"/>
    <w:rsid w:val="79983AC6"/>
    <w:rsid w:val="79F75F20"/>
    <w:rsid w:val="7AC83418"/>
    <w:rsid w:val="7B735900"/>
    <w:rsid w:val="7C264598"/>
    <w:rsid w:val="7CE03B4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4"/>
      <w:szCs w:val="34"/>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0"/>
    <w:rPr>
      <w:b/>
      <w:bCs/>
    </w:rPr>
  </w:style>
  <w:style w:type="character" w:styleId="10">
    <w:name w:val="FollowedHyperlink"/>
    <w:basedOn w:val="8"/>
    <w:qFormat/>
    <w:uiPriority w:val="0"/>
    <w:rPr>
      <w:color w:val="000000"/>
      <w:u w:val="none"/>
    </w:rPr>
  </w:style>
  <w:style w:type="character" w:styleId="11">
    <w:name w:val="HTML Definition"/>
    <w:basedOn w:val="8"/>
    <w:qFormat/>
    <w:uiPriority w:val="0"/>
    <w:rPr>
      <w:i/>
      <w:iCs/>
    </w:rPr>
  </w:style>
  <w:style w:type="character" w:styleId="12">
    <w:name w:val="Hyperlink"/>
    <w:basedOn w:val="8"/>
    <w:qFormat/>
    <w:uiPriority w:val="0"/>
    <w:rPr>
      <w:color w:val="000000"/>
      <w:u w:val="none"/>
    </w:rPr>
  </w:style>
  <w:style w:type="character" w:styleId="13">
    <w:name w:val="HTML Code"/>
    <w:basedOn w:val="8"/>
    <w:qFormat/>
    <w:uiPriority w:val="0"/>
    <w:rPr>
      <w:rFonts w:hint="default" w:ascii="monospace" w:hAnsi="monospace" w:eastAsia="monospace" w:cs="monospace"/>
      <w:sz w:val="21"/>
      <w:szCs w:val="21"/>
    </w:rPr>
  </w:style>
  <w:style w:type="character" w:styleId="14">
    <w:name w:val="HTML Keyboard"/>
    <w:basedOn w:val="8"/>
    <w:qFormat/>
    <w:uiPriority w:val="0"/>
    <w:rPr>
      <w:rFonts w:hint="default" w:ascii="monospace" w:hAnsi="monospace" w:eastAsia="monospace" w:cs="monospace"/>
      <w:sz w:val="21"/>
      <w:szCs w:val="21"/>
    </w:rPr>
  </w:style>
  <w:style w:type="character" w:styleId="15">
    <w:name w:val="HTML Sample"/>
    <w:basedOn w:val="8"/>
    <w:qFormat/>
    <w:uiPriority w:val="0"/>
    <w:rPr>
      <w:rFonts w:ascii="monospace" w:hAnsi="monospace" w:eastAsia="monospace" w:cs="monospace"/>
      <w:sz w:val="21"/>
      <w:szCs w:val="21"/>
    </w:rPr>
  </w:style>
  <w:style w:type="table" w:customStyle="1" w:styleId="16">
    <w:name w:val="Table Normal"/>
    <w:unhideWhenUsed/>
    <w:qFormat/>
    <w:uiPriority w:val="0"/>
    <w:tblPr>
      <w:tblCellMar>
        <w:top w:w="0" w:type="dxa"/>
        <w:left w:w="0" w:type="dxa"/>
        <w:bottom w:w="0" w:type="dxa"/>
        <w:right w:w="0" w:type="dxa"/>
      </w:tblCellMar>
    </w:tblPr>
  </w:style>
  <w:style w:type="paragraph" w:customStyle="1" w:styleId="17">
    <w:name w:val="Table Text"/>
    <w:basedOn w:val="1"/>
    <w:semiHidden/>
    <w:qFormat/>
    <w:uiPriority w:val="0"/>
    <w:rPr>
      <w:rFonts w:ascii="Arial" w:hAnsi="Arial" w:eastAsia="Arial" w:cs="Arial"/>
      <w:sz w:val="21"/>
      <w:szCs w:val="21"/>
      <w:lang w:val="en-US" w:eastAsia="en-US" w:bidi="ar-SA"/>
    </w:rPr>
  </w:style>
  <w:style w:type="character" w:customStyle="1" w:styleId="18">
    <w:name w:val="font21"/>
    <w:basedOn w:val="8"/>
    <w:uiPriority w:val="0"/>
    <w:rPr>
      <w:rFonts w:hint="default" w:ascii="Times New Roman" w:hAnsi="Times New Roman" w:cs="Times New Roman"/>
      <w:color w:val="000000"/>
      <w:sz w:val="20"/>
      <w:szCs w:val="20"/>
      <w:u w:val="none"/>
    </w:rPr>
  </w:style>
  <w:style w:type="character" w:customStyle="1" w:styleId="19">
    <w:name w:val="font31"/>
    <w:basedOn w:val="8"/>
    <w:uiPriority w:val="0"/>
    <w:rPr>
      <w:rFonts w:hint="eastAsia" w:ascii="仿宋" w:hAnsi="仿宋" w:eastAsia="仿宋" w:cs="仿宋"/>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14</Pages>
  <Words>8773</Words>
  <Characters>9093</Characters>
  <Lines>0</Lines>
  <Paragraphs>0</Paragraphs>
  <TotalTime>16</TotalTime>
  <ScaleCrop>false</ScaleCrop>
  <LinksUpToDate>false</LinksUpToDate>
  <CharactersWithSpaces>9321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2024-05-22T10:50:00Z</dcterms:created>
  <dc:creator>admin</dc:creator>
  <cp:lastModifiedBy>Administrator</cp:lastModifiedBy>
  <cp:lastPrinted>2024-05-28T01:49:00Z</cp:lastPrinted>
  <dcterms:modified xsi:type="dcterms:W3CDTF">2024-06-26T03:31:50Z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2024-05-22T10:50:18Z</vt:filetime>
  </property>
  <property fmtid="{D5CDD505-2E9C-101B-9397-08002B2CF9AE}" pid="4" name="UsrData">
    <vt:lpwstr>664d5d64524474001f09469fwl</vt:lpwstr>
  </property>
  <property fmtid="{D5CDD505-2E9C-101B-9397-08002B2CF9AE}" pid="5" name="KSOProductBuildVer">
    <vt:lpwstr>2052-12.1.0.16929</vt:lpwstr>
  </property>
  <property fmtid="{D5CDD505-2E9C-101B-9397-08002B2CF9AE}" pid="6" name="ICV">
    <vt:lpwstr>567C9EEE5FE84C8D922988DF7E9142D3_13</vt:lpwstr>
  </property>
</Properties>
</file>