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pacing w:val="24"/>
          <w:sz w:val="44"/>
          <w:szCs w:val="44"/>
        </w:rPr>
      </w:pP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 w:type="default"/>
          <w:pgSz w:w="16820" w:h="11900"/>
          <w:pgMar w:top="1011" w:right="1205" w:bottom="400" w:left="929" w:header="0" w:footer="0" w:gutter="0"/>
          <w:pgNumType w:fmt="decimal"/>
          <w:cols w:equalWidth="0" w:num="1">
            <w:col w:w="14685"/>
          </w:cols>
        </w:sectPr>
      </w:pPr>
    </w:p>
    <w:p>
      <w:pPr>
        <w:spacing w:before="69" w:line="184" w:lineRule="auto"/>
        <w:ind w:left="159"/>
        <w:rPr>
          <w:rFonts w:hint="eastAsia" w:ascii="宋体" w:hAnsi="宋体" w:eastAsia="宋体" w:cs="宋体"/>
          <w:sz w:val="24"/>
          <w:szCs w:val="24"/>
          <w:lang w:val="en-US" w:eastAsia="zh-CN"/>
        </w:rPr>
      </w:pPr>
      <w:r>
        <w:rPr>
          <w:rFonts w:ascii="宋体" w:hAnsi="宋体" w:eastAsia="宋体" w:cs="宋体"/>
          <w:spacing w:val="6"/>
          <w:sz w:val="24"/>
          <w:szCs w:val="24"/>
        </w:rPr>
        <w:t>填报单位(盖章):</w:t>
      </w:r>
      <w:r>
        <w:rPr>
          <w:rFonts w:hint="eastAsia" w:ascii="宋体" w:hAnsi="宋体" w:eastAsia="宋体" w:cs="宋体"/>
          <w:spacing w:val="6"/>
          <w:sz w:val="24"/>
          <w:szCs w:val="24"/>
          <w:lang w:val="en-US" w:eastAsia="zh-CN"/>
        </w:rPr>
        <w:t>陵川县教育局</w:t>
      </w:r>
    </w:p>
    <w:p>
      <w:pPr>
        <w:spacing w:line="14" w:lineRule="auto"/>
        <w:rPr>
          <w:rFonts w:ascii="Arial"/>
          <w:sz w:val="2"/>
          <w:szCs w:val="18"/>
        </w:rPr>
      </w:pPr>
      <w:r>
        <w:rPr>
          <w:rFonts w:ascii="Arial" w:hAnsi="Arial" w:eastAsia="Arial" w:cs="Arial"/>
          <w:sz w:val="2"/>
          <w:szCs w:val="2"/>
        </w:rPr>
        <w:br w:type="column"/>
      </w:r>
    </w:p>
    <w:p>
      <w:pPr>
        <w:spacing w:before="61" w:line="188" w:lineRule="auto"/>
        <w:rPr>
          <w:rFonts w:hint="default" w:ascii="宋体" w:hAnsi="宋体" w:eastAsia="宋体" w:cs="宋体"/>
          <w:sz w:val="24"/>
          <w:szCs w:val="24"/>
          <w:lang w:val="en-US" w:eastAsia="zh-CN"/>
        </w:rPr>
      </w:pPr>
      <w:r>
        <w:rPr>
          <w:rFonts w:ascii="宋体" w:hAnsi="宋体" w:eastAsia="宋体" w:cs="宋体"/>
          <w:spacing w:val="-1"/>
          <w:sz w:val="24"/>
          <w:szCs w:val="24"/>
        </w:rPr>
        <w:t>联系人和联系方式：</w:t>
      </w:r>
      <w:r>
        <w:rPr>
          <w:rFonts w:hint="eastAsia" w:ascii="宋体" w:hAnsi="宋体" w:eastAsia="宋体" w:cs="宋体"/>
          <w:spacing w:val="-1"/>
          <w:sz w:val="24"/>
          <w:szCs w:val="24"/>
          <w:lang w:val="en-US" w:eastAsia="zh-CN"/>
        </w:rPr>
        <w:t>周东亮13935645913</w:t>
      </w:r>
    </w:p>
    <w:p>
      <w:pPr>
        <w:spacing w:line="188" w:lineRule="auto"/>
        <w:rPr>
          <w:rFonts w:ascii="宋体" w:hAnsi="宋体" w:eastAsia="宋体" w:cs="宋体"/>
          <w:sz w:val="24"/>
          <w:szCs w:val="24"/>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tbl>
      <w:tblPr>
        <w:tblStyle w:val="8"/>
        <w:tblW w:w="146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2"/>
        <w:gridCol w:w="900"/>
        <w:gridCol w:w="912"/>
        <w:gridCol w:w="10662"/>
        <w:gridCol w:w="716"/>
        <w:gridCol w:w="703"/>
        <w:gridCol w:w="3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402" w:type="dxa"/>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宋体" w:hAnsi="宋体" w:eastAsia="宋体" w:cs="宋体"/>
                <w:sz w:val="28"/>
                <w:szCs w:val="28"/>
              </w:rPr>
            </w:pPr>
            <w:r>
              <w:rPr>
                <w:rFonts w:hint="eastAsia" w:ascii="宋体" w:hAnsi="宋体" w:eastAsia="宋体" w:cs="宋体"/>
                <w:b/>
                <w:bCs/>
                <w:spacing w:val="1"/>
                <w:sz w:val="28"/>
                <w:szCs w:val="28"/>
              </w:rPr>
              <w:t>序号</w:t>
            </w:r>
          </w:p>
        </w:tc>
        <w:tc>
          <w:tcPr>
            <w:tcW w:w="900" w:type="dxa"/>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宋体" w:hAnsi="宋体" w:eastAsia="宋体" w:cs="宋体"/>
                <w:b/>
                <w:bCs/>
                <w:spacing w:val="-6"/>
                <w:sz w:val="28"/>
                <w:szCs w:val="28"/>
              </w:rPr>
            </w:pPr>
            <w:r>
              <w:rPr>
                <w:rFonts w:hint="eastAsia" w:ascii="宋体" w:hAnsi="宋体" w:eastAsia="宋体" w:cs="宋体"/>
                <w:b/>
                <w:bCs/>
                <w:spacing w:val="-6"/>
                <w:sz w:val="28"/>
                <w:szCs w:val="28"/>
              </w:rPr>
              <w:t>事项</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宋体" w:hAnsi="宋体" w:eastAsia="宋体" w:cs="宋体"/>
                <w:sz w:val="28"/>
                <w:szCs w:val="28"/>
              </w:rPr>
            </w:pPr>
            <w:r>
              <w:rPr>
                <w:rFonts w:hint="eastAsia" w:ascii="宋体" w:hAnsi="宋体" w:eastAsia="宋体" w:cs="宋体"/>
                <w:b/>
                <w:bCs/>
                <w:spacing w:val="-6"/>
                <w:sz w:val="28"/>
                <w:szCs w:val="28"/>
              </w:rPr>
              <w:t>名称</w:t>
            </w:r>
          </w:p>
        </w:tc>
        <w:tc>
          <w:tcPr>
            <w:tcW w:w="912" w:type="dxa"/>
            <w:vAlign w:val="center"/>
          </w:tcPr>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宋体" w:hAnsi="宋体" w:eastAsia="宋体" w:cs="宋体"/>
                <w:b/>
                <w:bCs/>
                <w:spacing w:val="-1"/>
                <w:sz w:val="28"/>
                <w:szCs w:val="28"/>
              </w:rPr>
            </w:pPr>
            <w:r>
              <w:rPr>
                <w:rFonts w:hint="eastAsia" w:ascii="宋体" w:hAnsi="宋体" w:eastAsia="宋体" w:cs="宋体"/>
                <w:b/>
                <w:bCs/>
                <w:spacing w:val="-1"/>
                <w:sz w:val="28"/>
                <w:szCs w:val="28"/>
              </w:rPr>
              <w:t>事项</w:t>
            </w:r>
          </w:p>
          <w:p>
            <w:pPr>
              <w:keepNext w:val="0"/>
              <w:keepLines w:val="0"/>
              <w:pageBreakBefore w:val="0"/>
              <w:widowControl/>
              <w:kinsoku w:val="0"/>
              <w:wordWrap/>
              <w:overflowPunct/>
              <w:topLinePunct w:val="0"/>
              <w:autoSpaceDE w:val="0"/>
              <w:autoSpaceDN w:val="0"/>
              <w:bidi w:val="0"/>
              <w:adjustRightInd w:val="0"/>
              <w:snapToGrid w:val="0"/>
              <w:spacing w:line="340" w:lineRule="exact"/>
              <w:jc w:val="center"/>
              <w:textAlignment w:val="baseline"/>
              <w:rPr>
                <w:rFonts w:hint="eastAsia" w:ascii="宋体" w:hAnsi="宋体" w:eastAsia="宋体" w:cs="宋体"/>
                <w:sz w:val="28"/>
                <w:szCs w:val="28"/>
              </w:rPr>
            </w:pPr>
            <w:r>
              <w:rPr>
                <w:rFonts w:hint="eastAsia" w:ascii="宋体" w:hAnsi="宋体" w:eastAsia="宋体" w:cs="宋体"/>
                <w:b/>
                <w:bCs/>
                <w:spacing w:val="-1"/>
                <w:sz w:val="28"/>
                <w:szCs w:val="28"/>
              </w:rPr>
              <w:t>类型</w:t>
            </w:r>
          </w:p>
        </w:tc>
        <w:tc>
          <w:tcPr>
            <w:tcW w:w="1066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340" w:lineRule="exact"/>
              <w:jc w:val="center"/>
              <w:textAlignment w:val="baseline"/>
              <w:rPr>
                <w:rFonts w:hint="eastAsia" w:ascii="宋体" w:hAnsi="宋体" w:eastAsia="宋体" w:cs="宋体"/>
                <w:sz w:val="28"/>
                <w:szCs w:val="28"/>
                <w:lang w:val="en-US" w:eastAsia="zh-CN"/>
              </w:rPr>
            </w:pPr>
            <w:r>
              <w:rPr>
                <w:rFonts w:hint="eastAsia" w:ascii="宋体" w:hAnsi="宋体" w:eastAsia="宋体" w:cs="宋体"/>
                <w:b/>
                <w:bCs/>
                <w:spacing w:val="-1"/>
                <w:sz w:val="28"/>
                <w:szCs w:val="28"/>
              </w:rPr>
              <w:t>事项依据</w:t>
            </w:r>
          </w:p>
        </w:tc>
        <w:tc>
          <w:tcPr>
            <w:tcW w:w="71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line="340" w:lineRule="exact"/>
              <w:jc w:val="center"/>
              <w:textAlignment w:val="baseline"/>
              <w:rPr>
                <w:rFonts w:hint="eastAsia" w:ascii="宋体" w:hAnsi="宋体" w:eastAsia="宋体" w:cs="宋体"/>
                <w:sz w:val="28"/>
                <w:szCs w:val="28"/>
              </w:rPr>
            </w:pPr>
            <w:r>
              <w:rPr>
                <w:rFonts w:hint="eastAsia" w:ascii="宋体" w:hAnsi="宋体" w:eastAsia="宋体" w:cs="宋体"/>
                <w:b/>
                <w:bCs/>
                <w:spacing w:val="-3"/>
                <w:sz w:val="28"/>
                <w:szCs w:val="28"/>
              </w:rPr>
              <w:t>责任主体</w:t>
            </w:r>
          </w:p>
        </w:tc>
        <w:tc>
          <w:tcPr>
            <w:tcW w:w="70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340" w:lineRule="exact"/>
              <w:jc w:val="center"/>
              <w:textAlignment w:val="baseline"/>
              <w:rPr>
                <w:rFonts w:hint="eastAsia" w:ascii="宋体" w:hAnsi="宋体" w:eastAsia="宋体" w:cs="宋体"/>
                <w:sz w:val="28"/>
                <w:szCs w:val="28"/>
              </w:rPr>
            </w:pPr>
            <w:r>
              <w:rPr>
                <w:rFonts w:hint="eastAsia" w:ascii="宋体" w:hAnsi="宋体" w:eastAsia="宋体" w:cs="宋体"/>
                <w:b/>
                <w:bCs/>
                <w:spacing w:val="-3"/>
                <w:sz w:val="28"/>
                <w:szCs w:val="28"/>
              </w:rPr>
              <w:t>实施主体</w:t>
            </w:r>
          </w:p>
        </w:tc>
        <w:tc>
          <w:tcPr>
            <w:tcW w:w="37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1" w:line="340" w:lineRule="exact"/>
              <w:jc w:val="center"/>
              <w:textAlignment w:val="baseline"/>
              <w:rPr>
                <w:rFonts w:hint="eastAsia" w:ascii="宋体" w:hAnsi="宋体" w:eastAsia="宋体" w:cs="宋体"/>
                <w:sz w:val="28"/>
                <w:szCs w:val="28"/>
              </w:rPr>
            </w:pPr>
            <w:r>
              <w:rPr>
                <w:rFonts w:hint="eastAsia" w:ascii="宋体" w:hAnsi="宋体" w:eastAsia="宋体" w:cs="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7"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w:t>
            </w:r>
          </w:p>
          <w:p>
            <w:pPr>
              <w:bidi w:val="0"/>
              <w:rPr>
                <w:rFonts w:hint="eastAsia" w:ascii="仿宋_GB2312" w:hAnsi="仿宋_GB2312" w:eastAsia="仿宋_GB2312" w:cs="仿宋_GB2312"/>
                <w:lang w:val="en-US" w:eastAsia="zh-CN"/>
              </w:rPr>
            </w:pPr>
          </w:p>
          <w:p>
            <w:pPr>
              <w:bidi w:val="0"/>
              <w:rPr>
                <w:rFonts w:hint="eastAsia" w:ascii="仿宋_GB2312" w:hAnsi="仿宋_GB2312" w:eastAsia="仿宋_GB2312" w:cs="仿宋_GB2312"/>
                <w:lang w:val="en-US" w:eastAsia="zh-CN"/>
              </w:rPr>
            </w:pPr>
          </w:p>
          <w:p>
            <w:pPr>
              <w:bidi w:val="0"/>
              <w:rPr>
                <w:rFonts w:hint="eastAsia" w:ascii="仿宋_GB2312" w:hAnsi="仿宋_GB2312" w:eastAsia="仿宋_GB2312" w:cs="仿宋_GB2312"/>
                <w:lang w:val="en-US" w:eastAsia="zh-CN"/>
              </w:rPr>
            </w:pPr>
          </w:p>
          <w:p>
            <w:pPr>
              <w:bidi w:val="0"/>
              <w:ind w:firstLine="375" w:firstLineChars="0"/>
              <w:jc w:val="left"/>
              <w:rPr>
                <w:rFonts w:hint="eastAsia" w:ascii="仿宋_GB2312" w:hAnsi="仿宋_GB2312" w:eastAsia="仿宋_GB2312" w:cs="仿宋_GB2312"/>
                <w:lang w:val="en-US" w:eastAsia="zh-CN"/>
              </w:rPr>
            </w:pPr>
          </w:p>
        </w:tc>
        <w:tc>
          <w:tcPr>
            <w:tcW w:w="90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snapToGrid w:val="0"/>
                <w:color w:val="000000"/>
                <w:kern w:val="0"/>
                <w:sz w:val="20"/>
                <w:szCs w:val="20"/>
                <w:u w:val="none"/>
                <w:lang w:val="en-US" w:eastAsia="en-US" w:bidi="ar-SA"/>
              </w:rPr>
            </w:pPr>
            <w:r>
              <w:rPr>
                <w:rFonts w:hint="eastAsia" w:ascii="仿宋_GB2312" w:hAnsi="仿宋_GB2312" w:eastAsia="仿宋_GB2312" w:cs="仿宋_GB2312"/>
                <w:i w:val="0"/>
                <w:iCs w:val="0"/>
                <w:snapToGrid w:val="0"/>
                <w:color w:val="000000"/>
                <w:kern w:val="0"/>
                <w:sz w:val="20"/>
                <w:szCs w:val="20"/>
                <w:u w:val="none"/>
                <w:lang w:val="en-US" w:eastAsia="zh-CN" w:bidi="ar"/>
              </w:rPr>
              <w:t>对违法颁发学位证书、学历证书或其他学业证书的处罚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《中华人民共和国教育法》</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1995年3月18日第八届全国人民代表大会第三次会议通过，根据2021年4月29日第十三届全国人民代表大会常务委员会第二十八次会议《关于修改〈中华人民共和国教育法〉的决定》第三次修正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第八十二条第一款</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对直接负责的主管人员和其他直接责任人员，依法给予处分。</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基础教育</w:t>
            </w:r>
            <w:r>
              <w:rPr>
                <w:rFonts w:hint="eastAsia" w:ascii="仿宋_GB2312" w:hAnsi="仿宋_GB2312" w:eastAsia="仿宋_GB2312" w:cs="仿宋_GB2312"/>
              </w:rPr>
              <w:t>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6"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对学校或其他教育机构违反国家招生管理规定的处罚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《中华人民共和国教育法》</w:t>
            </w:r>
            <w:r>
              <w:rPr>
                <w:rFonts w:hint="eastAsia" w:ascii="仿宋_GB2312" w:hAnsi="仿宋_GB2312" w:eastAsia="仿宋_GB2312" w:cs="仿宋_GB2312"/>
                <w:lang w:eastAsia="zh-CN"/>
              </w:rPr>
              <w:t>（</w:t>
            </w:r>
            <w:r>
              <w:rPr>
                <w:rFonts w:hint="eastAsia" w:ascii="仿宋_GB2312" w:hAnsi="仿宋_GB2312" w:eastAsia="仿宋_GB2312" w:cs="仿宋_GB2312"/>
              </w:rPr>
              <w:t>1995年3月18日第八届全国人民代表大会第三次会议通过，根据2021年4月29日第十三届全国人民代表大会常务委员会第二十八次会议《关于修改〈中华人民共和国教育法〉的决定》第三次修正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第七十六条</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对直接负责的主管人员和其他直接责任人员，依法给予处分；构成犯罪的，依法追究刑事责任。</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第七十七条</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在招收学生工作中徇私舞弊的，由教育行政部门或者其他有关行政部门责令退回招收的人员；对直接负责的主管人员和其他直接责任人员，依法给予处分；构成犯罪的，依法追究刑事责任。</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第七十八条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学校及其他教育机构违反国家有关规定向受教育者收取费用的，由教育行政部门或者其他有关行政部门责令退还所收费用；对直接负责的主管人员和其他直接责任人员，依法给予处分。</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高中有下列情形之一的，由主管教育行政部门责令限期改正，给予警告或者通报批评。对直接负责的主管人员和其他直接责任人员，视情节轻重依法给予相应处分；涉嫌犯罪的，依法移送司法机关处理。（一）未按照规定的标准和程序，以照顾特定考生为目的，滥用推荐评价权力的；（二）未按规定公示享受优惠政策的考生名单、各类推荐考生的名额、名单及相关证明材料的；（三）在考生报名、推荐等工作过程中出具与事实不符的成绩单、推荐材料、证明材料等虚假材料，在学生综合素质档案中虚构事实或者故意隐瞒事实的；（四）违规办理学籍档案、违背考生意愿为考生填报志愿或者有偿推荐、组织生源的；（五）其他违反国家招生管理规定的行为。</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基础教育</w:t>
            </w:r>
            <w:r>
              <w:rPr>
                <w:rFonts w:hint="eastAsia" w:ascii="仿宋_GB2312" w:hAnsi="仿宋_GB2312" w:eastAsia="仿宋_GB2312" w:cs="仿宋_GB2312"/>
              </w:rPr>
              <w:t>股</w:t>
            </w: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6"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对民办学校及民办教育培训机构违规办学行为的处罚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《中华人民共和国民办教育促进法》（2002年12月28日第九届全国人民代表大会常务委员会第三十一次会议通过</w:t>
            </w:r>
            <w:r>
              <w:rPr>
                <w:rFonts w:hint="eastAsia" w:ascii="仿宋_GB2312" w:hAnsi="仿宋_GB2312" w:eastAsia="仿宋_GB2312" w:cs="仿宋_GB2312"/>
                <w:lang w:eastAsia="zh-CN"/>
              </w:rPr>
              <w:t>，</w:t>
            </w:r>
            <w:r>
              <w:rPr>
                <w:rFonts w:hint="eastAsia" w:ascii="仿宋_GB2312" w:hAnsi="仿宋_GB2312" w:eastAsia="仿宋_GB2312" w:cs="仿宋_GB2312"/>
              </w:rPr>
              <w:t>根据2018年12月29日第十三届全国人民代表大会常务委员会第七次会议《关于修改〈中华人民共和国劳动法〉等七部法律的决定》第三次修正）</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第六十二条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一）擅自分立、合并民办学校的；（二）擅自改变民办学校名称、层次、类别和举办者的；（三）发布虚假招生简章或者广告，骗取钱财的；（四）非法颁发或者伪造学历证书、结业证书、培训证书、职业资格证书的；（五）管理混乱严重影响教育教学，产生恶劣社会影响的；（六）提交虚假证明文件或者采取其他欺诈手段隐瞒重要事实骗取办学许可证的；（七）伪造、变造、买卖、出租、出借办学许可证的；（八）恶意终止办学、抽逃资金或者挪用办学经费的。</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第六十五条第一款</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本法所称的民办学校包括依法举办的其他民办教育机构。</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【行政法规】</w:t>
            </w:r>
            <w:r>
              <w:rPr>
                <w:rFonts w:hint="eastAsia" w:ascii="仿宋_GB2312" w:hAnsi="仿宋_GB2312" w:eastAsia="仿宋_GB2312" w:cs="仿宋_GB2312"/>
              </w:rPr>
              <w:t>《中华人民共和国民办教育促进法实施条例》（2004年3月5日中华人民共和国国务院令第399号公布；2021年4月7日中华人民共和国国务院令第741号修订）</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六十三条民办学校有下列情形之一的，依照民办教育促进法第六十二条规定给予处罚：（一）违背国家教育方针，偏离社会主义办学方向，或者未保障学校党组织履行职责的；（二）违反法律、行政法规和国家有关规定开展教育教学活动的；（三）理事会、董事会或者其他形式决策机构未依法履行职责的；（四）教学条件明显不能满足教学要求、教育教学质量低下，未及时采取措施的；（五）校舍、其他教育教学设施设备存在重大安全隐患，未及时采取措施的；（六）侵犯受教育者的合法权益，产生恶劣社会影响的；（七）违反国家规定聘任、解聘教师，或者未依法保障教职工待遇的；（八）违反规定招生，或者在招生过程中弄虚作假的；（九）超出办学许可范围，擅自改变办学地址或者设立分校的；（十）未依法履行公示办学条件和教育质量有关材料、财务状况等信息披露义务，或者公示的材料不真实的；（十一）未按照国家统一的会计制度进行会计核算、编制财务会计报告，财务、资产管理混乱，或者违反法律、法规增加收费项目、提高收费标准的；（十二）有其他管理混乱严重影响教育教学的行为的。法律、行政法规对前款规定情形的处罚另有规定的，从其规定。</w:t>
            </w:r>
          </w:p>
          <w:p>
            <w:pPr>
              <w:pStyle w:val="9"/>
              <w:jc w:val="left"/>
              <w:rPr>
                <w:rFonts w:hint="eastAsia" w:ascii="仿宋_GB2312" w:hAnsi="仿宋_GB2312" w:eastAsia="仿宋_GB2312" w:cs="仿宋_GB2312"/>
              </w:rPr>
            </w:pP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基础教育股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7"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对擅自举办民办学校及民办教育培训机构行为的处罚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《中华人民共和国教育法》</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1995年3月18日第八届全国人民代表大会第三次会议通过，根据2021年4月29日第十三届全国人民代表大会常务委员会第二十八次会议《关于修改〈中华人民共和国教育法〉的决定》第三次修正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第七十五条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违反国家有关规定，举办学校或者其他教育机构的，由教育行政部门予以撤销；有违法所得的，没收违法所得；对直接负责的主管人员和其他直接责任人员，依法给予行政处分。</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《中华人民共和国民办教育促进法》（2002年12月28日第九届全国人民代表大会常务委员会第三十一次会议通过</w:t>
            </w:r>
            <w:r>
              <w:rPr>
                <w:rFonts w:hint="eastAsia" w:ascii="仿宋_GB2312" w:hAnsi="仿宋_GB2312" w:eastAsia="仿宋_GB2312" w:cs="仿宋_GB2312"/>
                <w:lang w:eastAsia="zh-CN"/>
              </w:rPr>
              <w:t>，</w:t>
            </w:r>
            <w:r>
              <w:rPr>
                <w:rFonts w:hint="eastAsia" w:ascii="仿宋_GB2312" w:hAnsi="仿宋_GB2312" w:eastAsia="仿宋_GB2312" w:cs="仿宋_GB2312"/>
              </w:rPr>
              <w:t>根据2018年12月29日第十三届全国人民代表大会常务委员会第七次会议《关于修改〈中华人民共和国劳动法〉等七部法律的决定》第三次修正）</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第六十四条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违反国家有关规定擅自举办民办学校的，由所在地县级以上地方人民政府教育行政部门或者人力资源社会保障行政部门会同同级公安、民政或者工商行政管理等有关部门责令停止办学、退还所收费用，并对举办者处违法所得一倍以上五倍以下罚款;构成违反治安管理行为的，由公安机关依法给予治安管理处罚;构成犯罪的，依法追究刑事责任。</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lang w:eastAsia="zh-CN"/>
              </w:rPr>
              <w:t>基础教育股</w:t>
            </w: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计财股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8"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both"/>
              <w:rPr>
                <w:rFonts w:hint="eastAsia" w:ascii="仿宋_GB2312" w:hAnsi="仿宋_GB2312" w:eastAsia="仿宋_GB2312" w:cs="仿宋_GB2312"/>
                <w:lang w:val="en-US" w:eastAsia="zh-CN"/>
              </w:rPr>
            </w:pPr>
          </w:p>
          <w:p>
            <w:pPr>
              <w:pStyle w:val="9"/>
              <w:jc w:val="both"/>
              <w:rPr>
                <w:rFonts w:hint="eastAsia" w:ascii="仿宋_GB2312" w:hAnsi="仿宋_GB2312" w:eastAsia="仿宋_GB2312" w:cs="仿宋_GB2312"/>
                <w:lang w:val="en-US" w:eastAsia="zh-CN"/>
              </w:rPr>
            </w:pPr>
          </w:p>
          <w:p>
            <w:pPr>
              <w:pStyle w:val="9"/>
              <w:jc w:val="both"/>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5</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对弄虚作假、骗取教师资格或者品行不良、侮辱学生的教师的处罚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【行政法规】</w:t>
            </w:r>
            <w:r>
              <w:rPr>
                <w:rFonts w:hint="eastAsia" w:ascii="仿宋_GB2312" w:hAnsi="仿宋_GB2312" w:eastAsia="仿宋_GB2312" w:cs="仿宋_GB2312"/>
              </w:rPr>
              <w:t>《教师资格条例》</w:t>
            </w:r>
            <w:r>
              <w:rPr>
                <w:rFonts w:hint="eastAsia" w:ascii="仿宋_GB2312" w:hAnsi="仿宋_GB2312" w:eastAsia="仿宋_GB2312" w:cs="仿宋_GB2312"/>
                <w:lang w:eastAsia="zh-CN"/>
              </w:rPr>
              <w:t>（</w:t>
            </w:r>
            <w:r>
              <w:rPr>
                <w:rFonts w:hint="eastAsia" w:ascii="仿宋_GB2312" w:hAnsi="仿宋_GB2312" w:eastAsia="仿宋_GB2312" w:cs="仿宋_GB2312"/>
              </w:rPr>
              <w:t>1995年12月12日国务院令188号发布,自发布之日起施行</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第十九条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有下列情形之一的，由县级以上人民政府教育行政部门撤销其教师资格：（一）弄虚作假、骗取教师资格的；（二）品行不良、侮辱学生，影响恶劣的。被撤销教师资格的，自撤销之日起5年内不得重新申请认定教师资格，其教师资格证书由县级以上人民政府教育行政部门收缴。</w:t>
            </w:r>
          </w:p>
          <w:p>
            <w:pPr>
              <w:pStyle w:val="9"/>
              <w:ind w:firstLine="420" w:firstLineChars="200"/>
              <w:jc w:val="left"/>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【部门规章】</w:t>
            </w:r>
            <w:r>
              <w:rPr>
                <w:rFonts w:hint="eastAsia" w:ascii="仿宋_GB2312" w:hAnsi="仿宋_GB2312" w:eastAsia="仿宋_GB2312" w:cs="仿宋_GB2312"/>
              </w:rPr>
              <w:t>《教师资格条例实施办法》</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中华人民共和国</w:t>
            </w:r>
            <w:r>
              <w:rPr>
                <w:rFonts w:hint="eastAsia" w:ascii="仿宋_GB2312" w:hAnsi="仿宋_GB2312" w:eastAsia="仿宋_GB2312" w:cs="仿宋_GB2312"/>
              </w:rPr>
              <w:t>教育部令第10号</w:t>
            </w:r>
            <w:r>
              <w:rPr>
                <w:rFonts w:hint="eastAsia" w:ascii="仿宋_GB2312" w:hAnsi="仿宋_GB2312" w:eastAsia="仿宋_GB2312" w:cs="仿宋_GB2312"/>
                <w:lang w:val="en-US" w:eastAsia="zh-CN"/>
              </w:rPr>
              <w:t xml:space="preserve"> 2000年9月23日发布实施</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第二十七条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对使用假资格证书的，一经查实，按弄虚作假、骗取教师资格处理，5年内不得申请认定教师资</w:t>
            </w:r>
            <w:r>
              <w:rPr>
                <w:rFonts w:hint="eastAsia" w:ascii="仿宋_GB2312" w:hAnsi="仿宋_GB2312" w:eastAsia="仿宋_GB2312" w:cs="仿宋_GB2312"/>
                <w:lang w:val="en-US" w:eastAsia="zh-CN"/>
              </w:rPr>
              <w:t>格</w:t>
            </w:r>
            <w:r>
              <w:rPr>
                <w:rFonts w:hint="eastAsia" w:ascii="仿宋_GB2312" w:hAnsi="仿宋_GB2312" w:eastAsia="仿宋_GB2312" w:cs="仿宋_GB2312"/>
                <w:lang w:eastAsia="zh-CN"/>
              </w:rPr>
              <w:t>，</w:t>
            </w:r>
            <w:r>
              <w:rPr>
                <w:rFonts w:hint="eastAsia" w:ascii="仿宋_GB2312" w:hAnsi="仿宋_GB2312" w:eastAsia="仿宋_GB2312" w:cs="仿宋_GB2312"/>
              </w:rPr>
              <w:t>由教育行政部门没收假证书。对变造、买卖教师资格证书的，依法追究法律责任。</w:t>
            </w:r>
          </w:p>
          <w:p>
            <w:pPr>
              <w:pStyle w:val="9"/>
              <w:ind w:firstLine="420" w:firstLineChars="200"/>
              <w:jc w:val="left"/>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【部门规章】</w:t>
            </w:r>
            <w:r>
              <w:rPr>
                <w:rFonts w:hint="eastAsia" w:ascii="仿宋_GB2312" w:hAnsi="仿宋_GB2312" w:eastAsia="仿宋_GB2312" w:cs="仿宋_GB2312"/>
              </w:rPr>
              <w:t>《教育行政处罚暂行实施办法》</w:t>
            </w:r>
            <w:r>
              <w:rPr>
                <w:rFonts w:hint="eastAsia" w:ascii="仿宋_GB2312" w:hAnsi="仿宋_GB2312" w:eastAsia="仿宋_GB2312" w:cs="仿宋_GB2312"/>
                <w:lang w:eastAsia="zh-CN"/>
              </w:rPr>
              <w:t>（</w:t>
            </w:r>
            <w:r>
              <w:rPr>
                <w:rFonts w:hint="eastAsia" w:ascii="仿宋_GB2312" w:hAnsi="仿宋_GB2312" w:eastAsia="仿宋_GB2312" w:cs="仿宋_GB2312"/>
              </w:rPr>
              <w:t>中华人民共和国国家教育委员会令第27号</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1998年3月6日发布</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第十八条第一款第一项</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教师有下列情形之一的，由教育行政部门给予撤销教师资格、自撤销之日起五年内不得重新申请认定教师资格的处罚：（一）弄虚作假或以其他欺骗手段获得教师资格的；</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人事股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34"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6</w:t>
            </w:r>
          </w:p>
        </w:tc>
        <w:tc>
          <w:tcPr>
            <w:tcW w:w="900" w:type="dxa"/>
            <w:vAlign w:val="top"/>
          </w:tcPr>
          <w:p>
            <w:pPr>
              <w:pStyle w:val="9"/>
              <w:jc w:val="center"/>
              <w:rPr>
                <w:rFonts w:hint="eastAsia" w:ascii="仿宋_GB2312" w:hAnsi="仿宋_GB2312" w:eastAsia="仿宋_GB2312" w:cs="仿宋_GB2312"/>
              </w:rPr>
            </w:pPr>
          </w:p>
          <w:p>
            <w:pPr>
              <w:bidi w:val="0"/>
              <w:jc w:val="center"/>
              <w:rPr>
                <w:rFonts w:hint="eastAsia" w:ascii="仿宋_GB2312" w:hAnsi="仿宋_GB2312" w:eastAsia="仿宋_GB2312" w:cs="仿宋_GB2312"/>
              </w:rPr>
            </w:pPr>
          </w:p>
          <w:p>
            <w:pPr>
              <w:bidi w:val="0"/>
              <w:jc w:val="center"/>
              <w:rPr>
                <w:rFonts w:hint="eastAsia" w:ascii="仿宋_GB2312" w:hAnsi="仿宋_GB2312" w:eastAsia="仿宋_GB2312" w:cs="仿宋_GB2312"/>
              </w:rPr>
            </w:pPr>
          </w:p>
          <w:p>
            <w:pPr>
              <w:bidi w:val="0"/>
              <w:jc w:val="center"/>
              <w:rPr>
                <w:rFonts w:hint="eastAsia" w:ascii="仿宋_GB2312" w:hAnsi="仿宋_GB2312" w:eastAsia="仿宋_GB2312" w:cs="仿宋_GB2312"/>
              </w:rPr>
            </w:pPr>
          </w:p>
          <w:p>
            <w:pPr>
              <w:bidi w:val="0"/>
              <w:jc w:val="center"/>
              <w:rPr>
                <w:rFonts w:hint="eastAsia" w:ascii="仿宋_GB2312" w:hAnsi="仿宋_GB2312" w:eastAsia="仿宋_GB2312" w:cs="仿宋_GB2312"/>
              </w:rPr>
            </w:pPr>
          </w:p>
          <w:p>
            <w:pPr>
              <w:bidi w:val="0"/>
              <w:jc w:val="center"/>
              <w:rPr>
                <w:rFonts w:hint="eastAsia" w:ascii="仿宋_GB2312" w:hAnsi="仿宋_GB2312" w:eastAsia="仿宋_GB2312" w:cs="仿宋_GB2312"/>
              </w:rPr>
            </w:pPr>
            <w:r>
              <w:rPr>
                <w:rFonts w:hint="eastAsia" w:ascii="仿宋_GB2312" w:hAnsi="仿宋_GB2312" w:eastAsia="仿宋_GB2312" w:cs="仿宋_GB2312"/>
              </w:rPr>
              <w:t>对幼儿园违反规定办学损害幼儿身心健康等行为的处罚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【部门规章】</w:t>
            </w:r>
            <w:r>
              <w:rPr>
                <w:rFonts w:hint="eastAsia" w:ascii="仿宋_GB2312" w:hAnsi="仿宋_GB2312" w:eastAsia="仿宋_GB2312" w:cs="仿宋_GB2312"/>
              </w:rPr>
              <w:t>《幼儿园管理条例》</w:t>
            </w:r>
            <w:r>
              <w:rPr>
                <w:rFonts w:hint="eastAsia" w:ascii="仿宋_GB2312" w:hAnsi="仿宋_GB2312" w:eastAsia="仿宋_GB2312" w:cs="仿宋_GB2312"/>
                <w:lang w:eastAsia="zh-CN"/>
              </w:rPr>
              <w:t>（</w:t>
            </w:r>
            <w:r>
              <w:rPr>
                <w:rFonts w:hint="eastAsia" w:ascii="仿宋_GB2312" w:hAnsi="仿宋_GB2312" w:eastAsia="仿宋_GB2312" w:cs="仿宋_GB2312"/>
              </w:rPr>
              <w:t>1989年8月20日国务院批准,1989年9月11日国家教育委员会令第4号发布,自1990年2月1日起施行</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第二十七条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违反本条例，具有下列情形之一的幼儿园，由教育行政部门视情节轻重，给予限期整顿、停止招生、停止办园的行政处罚：（一）未经登记注册，擅自招收幼儿的；（二）园舍、设施不符合国家卫生标准、安全标准，妨害幼儿身体健康或者威胁幼儿生命安全的；（三）教育内容和方法违背幼儿教育规律，损害幼儿身心健康的。</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第二十八条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违反本条例，具有下列情形之一的单位或者个人，由教育行政部门对直接责任人员给予警告、罚款的行政处罚，或者由教育行政部门建议有关部门对责任人员给予行政处分：（一）体罚或变相体罚幼儿的；（二）使用有毒、有害物质制作教具、玩具的；（三）克扣、挪用幼儿园经费的；（四）侵占、破坏幼儿园园舍、设备的；（五）干扰幼儿园正常工作秩序的；（六）在幼儿园周围设置有危险、有污染或者影响幼儿园采光的建设和设施的。前款所列情形，情节严重，构成犯罪的，由司法机关依法追究刑事责任。</w:t>
            </w:r>
          </w:p>
          <w:p>
            <w:pPr>
              <w:pStyle w:val="9"/>
              <w:ind w:left="420" w:leftChars="200" w:firstLine="0" w:firstLineChars="0"/>
              <w:jc w:val="left"/>
              <w:rPr>
                <w:rFonts w:hint="eastAsia" w:ascii="仿宋_GB2312" w:hAnsi="仿宋_GB2312" w:eastAsia="仿宋_GB2312" w:cs="仿宋_GB2312"/>
              </w:rPr>
            </w:pPr>
            <w:r>
              <w:rPr>
                <w:rFonts w:hint="eastAsia" w:ascii="仿宋_GB2312" w:hAnsi="仿宋_GB2312" w:eastAsia="仿宋_GB2312" w:cs="仿宋_GB2312"/>
                <w:lang w:val="en-US" w:eastAsia="zh-CN"/>
              </w:rPr>
              <w:t>【行政法规】</w:t>
            </w:r>
            <w:r>
              <w:rPr>
                <w:rFonts w:hint="eastAsia" w:ascii="仿宋_GB2312" w:hAnsi="仿宋_GB2312" w:eastAsia="仿宋_GB2312" w:cs="仿宋_GB2312"/>
              </w:rPr>
              <w:t>《教育行政处罚暂行实施办法》</w:t>
            </w:r>
            <w:r>
              <w:rPr>
                <w:rFonts w:hint="eastAsia" w:ascii="仿宋_GB2312" w:hAnsi="仿宋_GB2312" w:eastAsia="仿宋_GB2312" w:cs="仿宋_GB2312"/>
                <w:lang w:eastAsia="zh-CN"/>
              </w:rPr>
              <w:t>（</w:t>
            </w:r>
            <w:r>
              <w:rPr>
                <w:rFonts w:hint="eastAsia" w:ascii="仿宋_GB2312" w:hAnsi="仿宋_GB2312" w:eastAsia="仿宋_GB2312" w:cs="仿宋_GB2312"/>
              </w:rPr>
              <w:t>中华人民共和国国家教育委员会令第27号</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1998年3月6日发布</w:t>
            </w:r>
            <w:r>
              <w:rPr>
                <w:rFonts w:hint="eastAsia" w:ascii="仿宋_GB2312" w:hAnsi="仿宋_GB2312" w:eastAsia="仿宋_GB2312" w:cs="仿宋_GB2312"/>
                <w:lang w:eastAsia="zh-CN"/>
              </w:rPr>
              <w:t>）</w:t>
            </w:r>
            <w:r>
              <w:rPr>
                <w:rFonts w:hint="eastAsia" w:ascii="仿宋_GB2312" w:hAnsi="仿宋_GB2312" w:eastAsia="仿宋_GB2312" w:cs="仿宋_GB2312"/>
              </w:rPr>
              <w:t>第十条第一款</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幼儿园在实施保育教学活动中具有下列情形之一的，由教育行政部门责令限期整顿，并视情节轻</w:t>
            </w:r>
          </w:p>
          <w:p>
            <w:pPr>
              <w:pStyle w:val="9"/>
              <w:jc w:val="left"/>
              <w:rPr>
                <w:rFonts w:hint="eastAsia" w:ascii="仿宋_GB2312" w:hAnsi="仿宋_GB2312" w:eastAsia="仿宋_GB2312" w:cs="仿宋_GB2312"/>
              </w:rPr>
            </w:pPr>
            <w:r>
              <w:rPr>
                <w:rFonts w:hint="eastAsia" w:ascii="仿宋_GB2312" w:hAnsi="仿宋_GB2312" w:eastAsia="仿宋_GB2312" w:cs="仿宋_GB2312"/>
              </w:rPr>
              <w:t>重给予停止招生、停止办园的处罚：未经注册登记，擅自招收幼儿的。</w:t>
            </w:r>
          </w:p>
          <w:p>
            <w:pPr>
              <w:pStyle w:val="9"/>
              <w:jc w:val="left"/>
              <w:rPr>
                <w:rFonts w:hint="eastAsia" w:ascii="仿宋_GB2312" w:hAnsi="仿宋_GB2312" w:eastAsia="仿宋_GB2312" w:cs="仿宋_GB2312"/>
              </w:rPr>
            </w:pP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基础教育</w:t>
            </w:r>
            <w:r>
              <w:rPr>
                <w:rFonts w:hint="eastAsia" w:ascii="仿宋_GB2312" w:hAnsi="仿宋_GB2312" w:eastAsia="仿宋_GB2312" w:cs="仿宋_GB2312"/>
              </w:rPr>
              <w:t>股</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人事股</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安全</w:t>
            </w:r>
            <w:r>
              <w:rPr>
                <w:rFonts w:hint="eastAsia" w:ascii="仿宋_GB2312" w:hAnsi="仿宋_GB2312" w:eastAsia="仿宋_GB2312" w:cs="仿宋_GB2312"/>
                <w:lang w:val="en-US" w:eastAsia="zh-CN"/>
              </w:rPr>
              <w:t>法制</w:t>
            </w:r>
            <w:r>
              <w:rPr>
                <w:rFonts w:hint="eastAsia" w:ascii="仿宋_GB2312" w:hAnsi="仿宋_GB2312" w:eastAsia="仿宋_GB2312" w:cs="仿宋_GB2312"/>
              </w:rPr>
              <w:t>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4"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7</w:t>
            </w:r>
          </w:p>
        </w:tc>
        <w:tc>
          <w:tcPr>
            <w:tcW w:w="900" w:type="dxa"/>
            <w:vAlign w:val="top"/>
          </w:tcPr>
          <w:p>
            <w:pPr>
              <w:tabs>
                <w:tab w:val="left" w:pos="911"/>
              </w:tabs>
              <w:bidi w:val="0"/>
              <w:jc w:val="center"/>
              <w:rPr>
                <w:rFonts w:hint="eastAsia" w:ascii="仿宋_GB2312" w:hAnsi="仿宋_GB2312" w:eastAsia="仿宋_GB2312" w:cs="仿宋_GB2312"/>
                <w:lang w:eastAsia="zh-CN"/>
              </w:rPr>
            </w:pPr>
          </w:p>
          <w:p>
            <w:pPr>
              <w:tabs>
                <w:tab w:val="left" w:pos="911"/>
              </w:tabs>
              <w:bidi w:val="0"/>
              <w:jc w:val="center"/>
              <w:rPr>
                <w:rFonts w:hint="eastAsia" w:ascii="仿宋_GB2312" w:hAnsi="仿宋_GB2312" w:eastAsia="仿宋_GB2312" w:cs="仿宋_GB2312"/>
                <w:lang w:eastAsia="zh-CN"/>
              </w:rPr>
            </w:pPr>
          </w:p>
          <w:p>
            <w:pPr>
              <w:tabs>
                <w:tab w:val="left" w:pos="911"/>
              </w:tabs>
              <w:bidi w:val="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对学校管理混乱，存在安全隐患的处罚</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行政处罚</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【部门规章】</w:t>
            </w:r>
            <w:r>
              <w:rPr>
                <w:rFonts w:hint="eastAsia" w:ascii="仿宋_GB2312" w:hAnsi="仿宋_GB2312" w:eastAsia="仿宋_GB2312" w:cs="仿宋_GB2312"/>
              </w:rPr>
              <w:t>《学生伤害事故处理办法》</w:t>
            </w:r>
            <w:r>
              <w:rPr>
                <w:rFonts w:hint="eastAsia" w:ascii="仿宋_GB2312" w:hAnsi="仿宋_GB2312" w:eastAsia="仿宋_GB2312" w:cs="仿宋_GB2312"/>
                <w:lang w:eastAsia="zh-CN"/>
              </w:rPr>
              <w:t>（</w:t>
            </w:r>
            <w:r>
              <w:rPr>
                <w:rFonts w:hint="eastAsia" w:ascii="仿宋_GB2312" w:hAnsi="仿宋_GB2312" w:eastAsia="仿宋_GB2312" w:cs="仿宋_GB2312"/>
              </w:rPr>
              <w:t>中华人民共和国教育部令第12号</w:t>
            </w:r>
            <w:r>
              <w:rPr>
                <w:rFonts w:hint="eastAsia" w:ascii="仿宋_GB2312" w:hAnsi="仿宋_GB2312" w:eastAsia="仿宋_GB2312" w:cs="仿宋_GB2312"/>
                <w:lang w:eastAsia="zh-CN"/>
              </w:rPr>
              <w:t>，</w:t>
            </w:r>
            <w:r>
              <w:rPr>
                <w:rFonts w:hint="eastAsia" w:ascii="仿宋_GB2312" w:hAnsi="仿宋_GB2312" w:eastAsia="仿宋_GB2312" w:cs="仿宋_GB2312"/>
              </w:rPr>
              <w:t>于2002年3月26日经部务会议讨论通过</w:t>
            </w:r>
            <w:r>
              <w:rPr>
                <w:rFonts w:hint="eastAsia" w:ascii="仿宋_GB2312" w:hAnsi="仿宋_GB2312" w:eastAsia="仿宋_GB2312" w:cs="仿宋_GB2312"/>
                <w:lang w:eastAsia="zh-CN"/>
              </w:rPr>
              <w:t>，现予发布，自2002年9月1日起施行。</w:t>
            </w:r>
            <w:r>
              <w:rPr>
                <w:rFonts w:hint="eastAsia" w:ascii="仿宋_GB2312" w:hAnsi="仿宋_GB2312" w:eastAsia="仿宋_GB2312" w:cs="仿宋_GB2312"/>
              </w:rPr>
              <w:t>根据2010年12月13日《教育部关于修改和废止部分规章的决定》修改</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第三十三条：学校管理混乱，存在重大安全隐患的，主管的教育行政部门或者其他有关部门应当责令其限期整改；对情节严重或者拒不改正的，应当依据法律法规的有关规定，给予相应的行政处罚。</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安全股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9"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8</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对中小学、幼儿园、民办非学历教育机构安全、常规管理及办学规范的检查</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both"/>
              <w:rPr>
                <w:rFonts w:hint="eastAsia" w:ascii="仿宋_GB2312" w:hAnsi="仿宋_GB2312" w:eastAsia="仿宋_GB2312" w:cs="仿宋_GB2312"/>
              </w:rPr>
            </w:pPr>
          </w:p>
          <w:p>
            <w:pPr>
              <w:pStyle w:val="9"/>
              <w:jc w:val="both"/>
              <w:rPr>
                <w:rFonts w:hint="eastAsia" w:ascii="仿宋_GB2312" w:hAnsi="仿宋_GB2312" w:eastAsia="仿宋_GB2312" w:cs="仿宋_GB2312"/>
                <w:lang w:val="en-US" w:eastAsia="zh-CN"/>
              </w:rPr>
            </w:pPr>
            <w:r>
              <w:rPr>
                <w:rFonts w:hint="eastAsia" w:ascii="仿宋_GB2312" w:hAnsi="仿宋_GB2312" w:eastAsia="仿宋_GB2312" w:cs="仿宋_GB2312"/>
              </w:rPr>
              <w:t>行政检查</w:t>
            </w:r>
          </w:p>
        </w:tc>
        <w:tc>
          <w:tcPr>
            <w:tcW w:w="10662" w:type="dxa"/>
            <w:vAlign w:val="top"/>
          </w:tcPr>
          <w:p>
            <w:pPr>
              <w:pStyle w:val="9"/>
              <w:ind w:firstLine="420" w:firstLineChars="200"/>
              <w:jc w:val="left"/>
              <w:rPr>
                <w:rFonts w:hint="eastAsia" w:ascii="仿宋_GB2312" w:hAnsi="仿宋_GB2312" w:eastAsia="仿宋_GB2312" w:cs="仿宋_GB2312"/>
                <w:lang w:val="en-US" w:eastAsia="zh-CN"/>
              </w:rPr>
            </w:pPr>
          </w:p>
          <w:p>
            <w:pPr>
              <w:pStyle w:val="9"/>
              <w:ind w:firstLine="420" w:firstLineChars="200"/>
              <w:jc w:val="left"/>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《中华人民共和国义务教育法》</w:t>
            </w:r>
            <w:r>
              <w:rPr>
                <w:rFonts w:hint="eastAsia" w:ascii="仿宋_GB2312" w:hAnsi="仿宋_GB2312" w:eastAsia="仿宋_GB2312" w:cs="仿宋_GB2312"/>
                <w:lang w:eastAsia="zh-CN"/>
              </w:rPr>
              <w:t>（</w:t>
            </w:r>
            <w:r>
              <w:rPr>
                <w:rFonts w:hint="eastAsia" w:ascii="仿宋_GB2312" w:hAnsi="仿宋_GB2312" w:eastAsia="仿宋_GB2312" w:cs="仿宋_GB2312"/>
              </w:rPr>
              <w:t>1986年4月12日由第六届全国人民代表大会第四次会议通过，1986年7月1日起施行。根据2018年12月29日第十三届全国人民代表大会常务委员会第七次会议《关于修改〈中华人民共和国产品质量法〉等五部法律的决定》第二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第八条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人民政府教育督导机构对义务教育工作执行法律法规情况、教育教学质量以及义务教育均衡发展状况等进行督导，督导报告向社会公布。</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第二十四条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学校应当建立、健全安全制度和应急机制，对学生进行安全教育，加强管理，及时消除隐患，预防发生事故。县级以上地方人民政府定期对学校校舍安全进行检查；对需要维修、改造的，及时予以维修、改造。学校不得聘用曾经因故意犯罪被依法剥夺政治权利或者其他不适合从事义务教育工作的人担任工作人员。</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【部门规章】</w:t>
            </w:r>
            <w:r>
              <w:rPr>
                <w:rFonts w:hint="eastAsia" w:ascii="仿宋_GB2312" w:hAnsi="仿宋_GB2312" w:eastAsia="仿宋_GB2312" w:cs="仿宋_GB2312"/>
              </w:rPr>
              <w:t>《中小学幼儿园安全管理办法》</w:t>
            </w:r>
            <w:r>
              <w:rPr>
                <w:rFonts w:hint="eastAsia" w:ascii="仿宋_GB2312" w:hAnsi="仿宋_GB2312" w:eastAsia="仿宋_GB2312" w:cs="仿宋_GB2312"/>
                <w:lang w:eastAsia="zh-CN"/>
              </w:rPr>
              <w:t>（</w:t>
            </w:r>
            <w:r>
              <w:rPr>
                <w:rFonts w:hint="eastAsia" w:ascii="仿宋_GB2312" w:hAnsi="仿宋_GB2312" w:eastAsia="仿宋_GB2312" w:cs="仿宋_GB2312"/>
              </w:rPr>
              <w:t>根据教育法律法规和国务院的有关规定，教育部、公安部、司法部、建设部、交通部、文化部、卫生部、工商总局、质检总局、新闻出版总署制定了《中小学幼儿园安全管理办法》，现予发布，本办法自2006年9月1日起施行</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第六条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地方各级人民政府及其教育、公安、司法行政、建设、交通、文化、卫生、工商、质检、新闻出版等部门应当按照职责分工，依法负责学校安全工作，履行学校安全管理职责。</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教育行政部门对学校安全工作履行下列职责：（一）全面掌握学校安全工作状况，制定学校安全工作考核目标，加强对学校安全工作的检查指导，督促学校建立健全并落实安全管理制度；（二）建立安全工作责任制和事故责任追究制，及时消除安全隐患，指导学校妥善处理学生伤害事故；（三）及时了解学校安全教育情况，组织学校有针对性地开展学生安全教育，不断提高教育实效；（四）制定校园安全的应急预案，指导、监督下级教育行政部门和学校开展安全工作；（五）协调政府其他相关职能部门共同做好学校安全管理工作，协助当地人民政府组织对学校安全事故的救援和调查处理。教育督导机构应当组织学校安全工作的专项督导。第四十四条教育行政部门应当组织负责安全管理的主管人员、学校校长、幼儿园园长和学校负责安全保卫工作的人员，定期接受有关安全管理培训。</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第四十七条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教育、公安、司法行政、建设、交通、文化、卫生、工商、质检、新闻出版等部门应当建立联席会议制度，定期研究部署学校安全管理工作，依法维护学校周边秩序；通过多种途径和方式，听取学校和社会各界关于学校安全管理工作的意见和建议。</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【规范性文件】《关于印发&lt;中小学幼儿园安全防范工作规范（试行）&gt;的通知》</w:t>
            </w:r>
            <w:r>
              <w:rPr>
                <w:rFonts w:hint="eastAsia" w:ascii="仿宋_GB2312" w:hAnsi="仿宋_GB2312" w:eastAsia="仿宋_GB2312" w:cs="仿宋_GB2312"/>
              </w:rPr>
              <w:t>（公治〔2015〕168号）</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第十六条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属地教育行政部门要将学校安全防范系统纳入建设规划，加强指导、检查，协调相关部门加大安全防范投入，共同做好学校安全工作。（一）指导学校建立健全并认真执行校园安全防范管理制度和应对突发事件的应急预案。制定学校安全工作考核目标，并纳入教育督导评估体系。（二）定期组织专项督导，每学期至少深入学校开展1次全面的安全工作检查，每季度至少开展1次安全专项督查，对发现的问题及时督促整改。（三）指导、监督学校贯彻落实《校车安全管理条例》，建立健全校车安全管理制度，落实校车安全管理责任,组织学校开展交通安全教育。（四）指导学校按照《中小学公共安全教育指导纲要</w:t>
            </w:r>
            <w:r>
              <w:rPr>
                <w:rFonts w:hint="eastAsia" w:ascii="仿宋_GB2312" w:hAnsi="仿宋_GB2312" w:eastAsia="仿宋_GB2312" w:cs="仿宋_GB2312"/>
                <w:lang w:eastAsia="zh-CN"/>
              </w:rPr>
              <w:t>》《</w:t>
            </w:r>
            <w:r>
              <w:rPr>
                <w:rFonts w:hint="eastAsia" w:ascii="仿宋_GB2312" w:hAnsi="仿宋_GB2312" w:eastAsia="仿宋_GB2312" w:cs="仿宋_GB2312"/>
              </w:rPr>
              <w:t>中小学幼儿园应急疏散演练指南》开展安全教育和应急疏散演练，确保每名学生至少每月接受1次专题安全教育，每学期至少召开1次以安全为主题的家长会。（五）加强教师队伍管理，落实《中小学校岗位安全工作指南》，将安全工作纳入新进教师入职培训内容。（六）责任督学要对学校及周边安全情况实施经常性督导，发现危及师生安全的重大隐患，应及时督促学校和相关部门处理。</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基础教育</w:t>
            </w:r>
            <w:r>
              <w:rPr>
                <w:rFonts w:hint="eastAsia" w:ascii="仿宋_GB2312" w:hAnsi="仿宋_GB2312" w:eastAsia="仿宋_GB2312" w:cs="仿宋_GB2312"/>
              </w:rPr>
              <w:t>股</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安全股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9</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对违法使用校车行为的处分</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lang w:eastAsia="zh-CN"/>
              </w:rPr>
            </w:pPr>
            <w:r>
              <w:rPr>
                <w:rFonts w:hint="eastAsia" w:ascii="仿宋_GB2312" w:hAnsi="仿宋_GB2312" w:eastAsia="仿宋_GB2312" w:cs="仿宋_GB2312"/>
              </w:rPr>
              <w:t>其他行政</w:t>
            </w:r>
            <w:r>
              <w:rPr>
                <w:rFonts w:hint="eastAsia" w:ascii="仿宋_GB2312" w:hAnsi="仿宋_GB2312" w:eastAsia="仿宋_GB2312" w:cs="仿宋_GB2312"/>
                <w:lang w:val="en-US" w:eastAsia="zh-CN"/>
              </w:rPr>
              <w:t>执法事项</w:t>
            </w:r>
          </w:p>
        </w:tc>
        <w:tc>
          <w:tcPr>
            <w:tcW w:w="10662" w:type="dxa"/>
            <w:vAlign w:val="top"/>
          </w:tcPr>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【行政法规】</w:t>
            </w:r>
            <w:r>
              <w:rPr>
                <w:rFonts w:hint="eastAsia" w:ascii="仿宋_GB2312" w:hAnsi="仿宋_GB2312" w:eastAsia="仿宋_GB2312" w:cs="仿宋_GB2312"/>
              </w:rPr>
              <w:t>《校车安全管理条例》</w:t>
            </w:r>
            <w:r>
              <w:rPr>
                <w:rFonts w:hint="eastAsia" w:ascii="仿宋_GB2312" w:hAnsi="仿宋_GB2312" w:eastAsia="仿宋_GB2312" w:cs="仿宋_GB2312"/>
                <w:lang w:eastAsia="zh-CN"/>
              </w:rPr>
              <w:t>（</w:t>
            </w:r>
            <w:r>
              <w:rPr>
                <w:rFonts w:hint="eastAsia" w:ascii="仿宋_GB2312" w:hAnsi="仿宋_GB2312" w:eastAsia="仿宋_GB2312" w:cs="仿宋_GB2312"/>
              </w:rPr>
              <w:t>中华人民共和国国务院令第617号</w:t>
            </w:r>
            <w:r>
              <w:rPr>
                <w:rFonts w:hint="eastAsia" w:ascii="仿宋_GB2312" w:hAnsi="仿宋_GB2312" w:eastAsia="仿宋_GB2312" w:cs="仿宋_GB2312"/>
                <w:lang w:eastAsia="zh-CN"/>
              </w:rPr>
              <w:t>，</w:t>
            </w:r>
            <w:r>
              <w:rPr>
                <w:rFonts w:hint="eastAsia" w:ascii="仿宋_GB2312" w:hAnsi="仿宋_GB2312" w:eastAsia="仿宋_GB2312" w:cs="仿宋_GB2312"/>
              </w:rPr>
              <w:t>已经2012年3月28日国务院第197次常务会议通过，现予公布，自2012年4月5日起施行</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第五十五条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学校违反本条例规定的，除依照本条例有关规定予以处罚外，由教育行政部门给予通报批评；导致发生学生伤亡事故的，对政府举办的学校的负有责任的领导人员和直接责任人员依法给予处分；对民办学校由审批机关责令暂停招生，情节严重的，吊销其办学许可证，并由教育行政部门责令负有责任的领导人员和直接责任人员5年内不得从事学校管理事务。</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r>
              <w:rPr>
                <w:rFonts w:hint="eastAsia" w:ascii="仿宋_GB2312" w:hAnsi="仿宋_GB2312" w:eastAsia="仿宋_GB2312" w:cs="仿宋_GB2312"/>
              </w:rPr>
              <w:t>安全</w:t>
            </w:r>
            <w:r>
              <w:rPr>
                <w:rFonts w:hint="eastAsia" w:ascii="仿宋_GB2312" w:hAnsi="仿宋_GB2312" w:eastAsia="仿宋_GB2312" w:cs="仿宋_GB2312"/>
                <w:lang w:val="en-US" w:eastAsia="zh-CN"/>
              </w:rPr>
              <w:t>法制</w:t>
            </w:r>
            <w:r>
              <w:rPr>
                <w:rFonts w:hint="eastAsia" w:ascii="仿宋_GB2312" w:hAnsi="仿宋_GB2312" w:eastAsia="仿宋_GB2312" w:cs="仿宋_GB2312"/>
              </w:rPr>
              <w:t>股</w:t>
            </w:r>
          </w:p>
          <w:p>
            <w:pPr>
              <w:pStyle w:val="9"/>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基础教育</w:t>
            </w:r>
            <w:r>
              <w:rPr>
                <w:rFonts w:hint="eastAsia" w:ascii="仿宋_GB2312" w:hAnsi="仿宋_GB2312" w:eastAsia="仿宋_GB2312" w:cs="仿宋_GB2312"/>
              </w:rPr>
              <w:t>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10</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对学校及其他教育机构违反国家规定收取费用的处分</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lang w:eastAsia="zh-CN"/>
              </w:rPr>
            </w:pPr>
            <w:r>
              <w:rPr>
                <w:rFonts w:hint="eastAsia" w:ascii="仿宋_GB2312" w:hAnsi="仿宋_GB2312" w:eastAsia="仿宋_GB2312" w:cs="仿宋_GB2312"/>
              </w:rPr>
              <w:t>其他行政</w:t>
            </w:r>
            <w:r>
              <w:rPr>
                <w:rFonts w:hint="eastAsia" w:ascii="仿宋_GB2312" w:hAnsi="仿宋_GB2312" w:eastAsia="仿宋_GB2312" w:cs="仿宋_GB2312"/>
                <w:lang w:val="en-US" w:eastAsia="zh-CN"/>
              </w:rPr>
              <w:t>执法事项</w:t>
            </w:r>
          </w:p>
        </w:tc>
        <w:tc>
          <w:tcPr>
            <w:tcW w:w="10662" w:type="dxa"/>
            <w:vAlign w:val="top"/>
          </w:tcPr>
          <w:p>
            <w:pPr>
              <w:pStyle w:val="9"/>
              <w:ind w:firstLine="420" w:firstLineChars="200"/>
              <w:jc w:val="left"/>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《中华人民共和国教育法》</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1995年3月18日第八届全国人民代表大会第三次会议通过，根据2021年4月29日第十三届全国人民代表大会常务委员会第二十八次会议《关于修改〈中华人民共和国教育法〉的决定》第三次修正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第七十八条</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学校及其他教育机构违反国家有关规定向受教育者收取费用的，由教育行政部门或者其他有关行政部门责令退还所收费用；对直接负责的主管人员和其他直接责任人员，依法给予处分。</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《中华人民共和国义务教育法》</w:t>
            </w:r>
            <w:r>
              <w:rPr>
                <w:rFonts w:hint="eastAsia" w:ascii="仿宋_GB2312" w:hAnsi="仿宋_GB2312" w:eastAsia="仿宋_GB2312" w:cs="仿宋_GB2312"/>
                <w:lang w:eastAsia="zh-CN"/>
              </w:rPr>
              <w:t>（</w:t>
            </w:r>
            <w:r>
              <w:rPr>
                <w:rFonts w:hint="eastAsia" w:ascii="仿宋_GB2312" w:hAnsi="仿宋_GB2312" w:eastAsia="仿宋_GB2312" w:cs="仿宋_GB2312"/>
              </w:rPr>
              <w:t>1986年4月12日由第六届全国人民代表大会第四次会议通过，1986年7月1日起施行。根据2018年12月29日第十三届全国人民代表大会常务委员会第七次会议《关于修改〈中华人民共和国产品质量法〉等五部法律的决定》第二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第五十六条第一款</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学校违反国家规定收取费用的，由县级人民政府教育行政部门责令退还所收费用；对直接负责的主管人员和其他直接责任人员依法给予处分。</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计财股</w:t>
            </w:r>
          </w:p>
        </w:tc>
        <w:tc>
          <w:tcPr>
            <w:tcW w:w="379" w:type="dxa"/>
            <w:vAlign w:val="top"/>
          </w:tcPr>
          <w:p>
            <w:pPr>
              <w:pStyle w:val="9"/>
              <w:jc w:val="center"/>
              <w:rPr>
                <w:rFonts w:hint="eastAsia" w:ascii="仿宋_GB2312" w:hAnsi="仿宋_GB2312" w:eastAsia="仿宋_GB2312" w:cs="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402"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11</w:t>
            </w:r>
          </w:p>
        </w:tc>
        <w:tc>
          <w:tcPr>
            <w:tcW w:w="900"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对学校向学生推销商品的处分</w:t>
            </w:r>
          </w:p>
        </w:tc>
        <w:tc>
          <w:tcPr>
            <w:tcW w:w="912"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lang w:eastAsia="zh-CN"/>
              </w:rPr>
            </w:pPr>
            <w:r>
              <w:rPr>
                <w:rFonts w:hint="eastAsia" w:ascii="仿宋_GB2312" w:hAnsi="仿宋_GB2312" w:eastAsia="仿宋_GB2312" w:cs="仿宋_GB2312"/>
              </w:rPr>
              <w:t>其他行政</w:t>
            </w:r>
            <w:r>
              <w:rPr>
                <w:rFonts w:hint="eastAsia" w:ascii="仿宋_GB2312" w:hAnsi="仿宋_GB2312" w:eastAsia="仿宋_GB2312" w:cs="仿宋_GB2312"/>
                <w:lang w:val="en-US" w:eastAsia="zh-CN"/>
              </w:rPr>
              <w:t>执法事项</w:t>
            </w:r>
          </w:p>
        </w:tc>
        <w:tc>
          <w:tcPr>
            <w:tcW w:w="10662" w:type="dxa"/>
            <w:vAlign w:val="top"/>
          </w:tcPr>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lang w:val="en-US" w:eastAsia="zh-CN"/>
              </w:rPr>
              <w:t>【法律】</w:t>
            </w:r>
            <w:r>
              <w:rPr>
                <w:rFonts w:hint="eastAsia" w:ascii="仿宋_GB2312" w:hAnsi="仿宋_GB2312" w:eastAsia="仿宋_GB2312" w:cs="仿宋_GB2312"/>
              </w:rPr>
              <w:t>《中华人民共和国义务教育法》</w:t>
            </w:r>
            <w:r>
              <w:rPr>
                <w:rFonts w:hint="eastAsia" w:ascii="仿宋_GB2312" w:hAnsi="仿宋_GB2312" w:eastAsia="仿宋_GB2312" w:cs="仿宋_GB2312"/>
                <w:lang w:eastAsia="zh-CN"/>
              </w:rPr>
              <w:t>（</w:t>
            </w:r>
            <w:r>
              <w:rPr>
                <w:rFonts w:hint="eastAsia" w:ascii="仿宋_GB2312" w:hAnsi="仿宋_GB2312" w:eastAsia="仿宋_GB2312" w:cs="仿宋_GB2312"/>
              </w:rPr>
              <w:t>1986年4月12日由第六届全国人民代表大会第四次会议通过，1986年7月1日起施行。根据2018年12月29日第十三届全国人民代表大会常务委员会第七次会议《关于修改〈中华人民共和国产品质量法〉等五部法律的决定》第二次修正</w:t>
            </w:r>
            <w:r>
              <w:rPr>
                <w:rFonts w:hint="eastAsia" w:ascii="仿宋_GB2312" w:hAnsi="仿宋_GB2312" w:eastAsia="仿宋_GB2312" w:cs="仿宋_GB2312"/>
                <w:lang w:eastAsia="zh-CN"/>
              </w:rPr>
              <w:t>）</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第二十五条第一款</w:t>
            </w:r>
            <w:r>
              <w:rPr>
                <w:rFonts w:hint="eastAsia" w:ascii="仿宋_GB2312" w:hAnsi="仿宋_GB2312" w:eastAsia="仿宋_GB2312" w:cs="仿宋_GB2312"/>
                <w:lang w:eastAsia="zh-CN"/>
              </w:rPr>
              <w:t xml:space="preserve"> </w:t>
            </w:r>
            <w:r>
              <w:rPr>
                <w:rFonts w:hint="eastAsia" w:ascii="仿宋_GB2312" w:hAnsi="仿宋_GB2312" w:eastAsia="仿宋_GB2312" w:cs="仿宋_GB2312"/>
              </w:rPr>
              <w:t>学校不得违反国家规定收取费用，不得以向学生推销或者变相推销商品、服务等方式谋取利益。</w:t>
            </w:r>
          </w:p>
          <w:p>
            <w:pPr>
              <w:pStyle w:val="9"/>
              <w:ind w:firstLine="420" w:firstLineChars="200"/>
              <w:jc w:val="left"/>
              <w:rPr>
                <w:rFonts w:hint="eastAsia" w:ascii="仿宋_GB2312" w:hAnsi="仿宋_GB2312" w:eastAsia="仿宋_GB2312" w:cs="仿宋_GB2312"/>
              </w:rPr>
            </w:pPr>
            <w:r>
              <w:rPr>
                <w:rFonts w:hint="eastAsia" w:ascii="仿宋_GB2312" w:hAnsi="仿宋_GB2312" w:eastAsia="仿宋_GB2312" w:cs="仿宋_GB2312"/>
              </w:rPr>
              <w:t>第五十六条第二款</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学校以向学生推销或者变相推销商品、服务等方式谋取利益的，由县级人民政府教育行政部门给予通报批评；有违法所得的，没收违法所得；对直接负责的主管人员和其他直接责任人员依法给予处分。</w:t>
            </w:r>
          </w:p>
        </w:tc>
        <w:tc>
          <w:tcPr>
            <w:tcW w:w="716" w:type="dxa"/>
            <w:vAlign w:val="top"/>
          </w:tcPr>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p>
          <w:p>
            <w:pPr>
              <w:pStyle w:val="9"/>
              <w:jc w:val="center"/>
              <w:rPr>
                <w:rFonts w:hint="eastAsia" w:ascii="仿宋_GB2312" w:hAnsi="仿宋_GB2312" w:eastAsia="仿宋_GB2312" w:cs="仿宋_GB2312"/>
              </w:rPr>
            </w:pPr>
            <w:r>
              <w:rPr>
                <w:rFonts w:hint="eastAsia" w:ascii="仿宋_GB2312" w:hAnsi="仿宋_GB2312" w:eastAsia="仿宋_GB2312" w:cs="仿宋_GB2312"/>
              </w:rPr>
              <w:t>陵川县</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教育局</w:t>
            </w:r>
          </w:p>
        </w:tc>
        <w:tc>
          <w:tcPr>
            <w:tcW w:w="703" w:type="dxa"/>
            <w:vAlign w:val="top"/>
          </w:tcPr>
          <w:p>
            <w:pPr>
              <w:pStyle w:val="9"/>
              <w:jc w:val="center"/>
              <w:rPr>
                <w:rFonts w:hint="eastAsia" w:ascii="仿宋_GB2312" w:hAnsi="仿宋_GB2312" w:eastAsia="仿宋_GB2312" w:cs="仿宋_GB2312"/>
                <w:lang w:val="en-US" w:eastAsia="zh-CN"/>
              </w:rPr>
            </w:pPr>
          </w:p>
          <w:p>
            <w:pPr>
              <w:pStyle w:val="9"/>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基础教育</w:t>
            </w:r>
            <w:r>
              <w:rPr>
                <w:rFonts w:hint="eastAsia" w:ascii="仿宋_GB2312" w:hAnsi="仿宋_GB2312" w:eastAsia="仿宋_GB2312" w:cs="仿宋_GB2312"/>
              </w:rPr>
              <w:t>股</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人事股</w:t>
            </w:r>
          </w:p>
          <w:p>
            <w:pPr>
              <w:pStyle w:val="9"/>
              <w:jc w:val="center"/>
              <w:rPr>
                <w:rFonts w:hint="eastAsia" w:ascii="仿宋_GB2312" w:hAnsi="仿宋_GB2312" w:eastAsia="仿宋_GB2312" w:cs="仿宋_GB2312"/>
              </w:rPr>
            </w:pPr>
            <w:r>
              <w:rPr>
                <w:rFonts w:hint="eastAsia" w:ascii="仿宋_GB2312" w:hAnsi="仿宋_GB2312" w:eastAsia="仿宋_GB2312" w:cs="仿宋_GB2312"/>
              </w:rPr>
              <w:t>计财股</w:t>
            </w:r>
          </w:p>
        </w:tc>
        <w:tc>
          <w:tcPr>
            <w:tcW w:w="379" w:type="dxa"/>
            <w:vAlign w:val="top"/>
          </w:tcPr>
          <w:p>
            <w:pPr>
              <w:pStyle w:val="9"/>
              <w:jc w:val="center"/>
              <w:rPr>
                <w:rFonts w:hint="eastAsia" w:ascii="仿宋_GB2312" w:hAnsi="仿宋_GB2312" w:eastAsia="仿宋_GB2312" w:cs="仿宋_GB2312"/>
              </w:rPr>
            </w:pPr>
          </w:p>
        </w:tc>
      </w:tr>
    </w:tbl>
    <w:p>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pPr>
        <w:pStyle w:val="3"/>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pPr>
        <w:pStyle w:val="3"/>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pPr>
        <w:pStyle w:val="3"/>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pPr>
        <w:spacing w:line="142" w:lineRule="exact"/>
      </w:pPr>
    </w:p>
    <w:p>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mQ4MWFlNzA5NTQyMmY5MGVhYzE0YzkxZjBlNTM3ZTkifQ=="/>
  </w:docVars>
  <w:rsids>
    <w:rsidRoot w:val="00000000"/>
    <w:rsid w:val="03444725"/>
    <w:rsid w:val="03836A76"/>
    <w:rsid w:val="044955CA"/>
    <w:rsid w:val="06C21663"/>
    <w:rsid w:val="07AB7EBE"/>
    <w:rsid w:val="0DFA567D"/>
    <w:rsid w:val="0E9E44B5"/>
    <w:rsid w:val="106D374C"/>
    <w:rsid w:val="132A752B"/>
    <w:rsid w:val="16F03B3E"/>
    <w:rsid w:val="189866C8"/>
    <w:rsid w:val="1B5337B3"/>
    <w:rsid w:val="1DC37D43"/>
    <w:rsid w:val="1E2E42B2"/>
    <w:rsid w:val="1FFE32B4"/>
    <w:rsid w:val="21464F13"/>
    <w:rsid w:val="2A5B6650"/>
    <w:rsid w:val="2D0D0FDB"/>
    <w:rsid w:val="3025488D"/>
    <w:rsid w:val="31DB6D80"/>
    <w:rsid w:val="327C0F63"/>
    <w:rsid w:val="32F67202"/>
    <w:rsid w:val="388A1731"/>
    <w:rsid w:val="3AF667A7"/>
    <w:rsid w:val="3C940E96"/>
    <w:rsid w:val="43351360"/>
    <w:rsid w:val="46C93056"/>
    <w:rsid w:val="481366AF"/>
    <w:rsid w:val="48CA65BD"/>
    <w:rsid w:val="4AFF7D5D"/>
    <w:rsid w:val="55FF3307"/>
    <w:rsid w:val="6CA74746"/>
    <w:rsid w:val="6E1119D2"/>
    <w:rsid w:val="73BE1CB4"/>
    <w:rsid w:val="75263FB5"/>
    <w:rsid w:val="768B770E"/>
    <w:rsid w:val="79272BA5"/>
    <w:rsid w:val="7B5829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4"/>
      <w:szCs w:val="34"/>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6661</Words>
  <Characters>6848</Characters>
  <TotalTime>19</TotalTime>
  <ScaleCrop>false</ScaleCrop>
  <LinksUpToDate>false</LinksUpToDate>
  <CharactersWithSpaces>6880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Administrator</cp:lastModifiedBy>
  <cp:lastPrinted>2024-06-14T08:46:37Z</cp:lastPrinted>
  <dcterms:modified xsi:type="dcterms:W3CDTF">2024-06-14T08:50:33Z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2052-12.1.0.16929</vt:lpwstr>
  </property>
  <property fmtid="{D5CDD505-2E9C-101B-9397-08002B2CF9AE}" pid="6" name="ICV">
    <vt:lpwstr>C2A2E93DFAD2460B82F61F283D616B90_13</vt:lpwstr>
  </property>
</Properties>
</file>