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陵川县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民政局行政执法事项清单</w:t>
      </w:r>
    </w:p>
    <w:tbl>
      <w:tblPr>
        <w:tblStyle w:val="3"/>
        <w:tblW w:w="14978" w:type="dxa"/>
        <w:tblInd w:w="-3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113"/>
        <w:gridCol w:w="1058"/>
        <w:gridCol w:w="1263"/>
        <w:gridCol w:w="864"/>
        <w:gridCol w:w="2466"/>
        <w:gridCol w:w="2970"/>
        <w:gridCol w:w="3139"/>
        <w:gridCol w:w="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232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事项编码</w:t>
            </w:r>
          </w:p>
        </w:tc>
        <w:tc>
          <w:tcPr>
            <w:tcW w:w="2171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事项名称</w:t>
            </w:r>
          </w:p>
        </w:tc>
        <w:tc>
          <w:tcPr>
            <w:tcW w:w="1263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实施主体</w:t>
            </w:r>
          </w:p>
        </w:tc>
        <w:tc>
          <w:tcPr>
            <w:tcW w:w="864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事项类别</w:t>
            </w:r>
          </w:p>
        </w:tc>
        <w:tc>
          <w:tcPr>
            <w:tcW w:w="2466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事项依据</w:t>
            </w:r>
          </w:p>
        </w:tc>
        <w:tc>
          <w:tcPr>
            <w:tcW w:w="2970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责任事项</w:t>
            </w:r>
          </w:p>
        </w:tc>
        <w:tc>
          <w:tcPr>
            <w:tcW w:w="3139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责任事项依据</w:t>
            </w:r>
          </w:p>
        </w:tc>
        <w:tc>
          <w:tcPr>
            <w:tcW w:w="873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32" w:type="dxa"/>
            <w:vMerge w:val="continue"/>
            <w:vAlign w:val="center"/>
          </w:tcPr>
          <w:p>
            <w:pPr>
              <w:spacing w:beforeLines="50" w:afterLines="50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</w:p>
        </w:tc>
        <w:tc>
          <w:tcPr>
            <w:tcW w:w="1113" w:type="dxa"/>
            <w:vAlign w:val="center"/>
          </w:tcPr>
          <w:p>
            <w:pPr>
              <w:spacing w:beforeLines="50" w:afterLines="50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大项</w:t>
            </w:r>
          </w:p>
        </w:tc>
        <w:tc>
          <w:tcPr>
            <w:tcW w:w="1058" w:type="dxa"/>
            <w:vAlign w:val="center"/>
          </w:tcPr>
          <w:p>
            <w:pPr>
              <w:spacing w:beforeLines="50" w:afterLines="50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4"/>
              </w:rPr>
              <w:t>子项</w:t>
            </w:r>
          </w:p>
        </w:tc>
        <w:tc>
          <w:tcPr>
            <w:tcW w:w="1263" w:type="dxa"/>
            <w:vMerge w:val="continue"/>
            <w:vAlign w:val="center"/>
          </w:tcPr>
          <w:p>
            <w:pPr>
              <w:spacing w:beforeLines="50" w:afterLines="50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</w:p>
        </w:tc>
        <w:tc>
          <w:tcPr>
            <w:tcW w:w="864" w:type="dxa"/>
            <w:vMerge w:val="continue"/>
            <w:vAlign w:val="center"/>
          </w:tcPr>
          <w:p>
            <w:pPr>
              <w:spacing w:beforeLines="50" w:afterLines="50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</w:p>
        </w:tc>
        <w:tc>
          <w:tcPr>
            <w:tcW w:w="2466" w:type="dxa"/>
            <w:vMerge w:val="continue"/>
            <w:vAlign w:val="center"/>
          </w:tcPr>
          <w:p>
            <w:pPr>
              <w:spacing w:beforeLines="50" w:afterLines="50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</w:p>
        </w:tc>
        <w:tc>
          <w:tcPr>
            <w:tcW w:w="2970" w:type="dxa"/>
            <w:vMerge w:val="continue"/>
            <w:vAlign w:val="center"/>
          </w:tcPr>
          <w:p>
            <w:pPr>
              <w:spacing w:beforeLines="50" w:afterLines="50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</w:p>
        </w:tc>
        <w:tc>
          <w:tcPr>
            <w:tcW w:w="3139" w:type="dxa"/>
            <w:vMerge w:val="continue"/>
            <w:vAlign w:val="center"/>
          </w:tcPr>
          <w:p>
            <w:pPr>
              <w:spacing w:beforeLines="50" w:afterLines="50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</w:p>
        </w:tc>
        <w:tc>
          <w:tcPr>
            <w:tcW w:w="873" w:type="dxa"/>
            <w:vMerge w:val="continue"/>
            <w:vAlign w:val="center"/>
          </w:tcPr>
          <w:p>
            <w:pPr>
              <w:spacing w:beforeLines="50" w:afterLines="50"/>
              <w:jc w:val="center"/>
              <w:rPr>
                <w:rFonts w:asciiTheme="minorEastAsia" w:hAnsiTheme="minorEastAsia" w:cstheme="minor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3" w:hRule="atLeast"/>
        </w:trPr>
        <w:tc>
          <w:tcPr>
            <w:tcW w:w="1232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0700-A-00200-140581</w:t>
            </w:r>
          </w:p>
        </w:tc>
        <w:tc>
          <w:tcPr>
            <w:tcW w:w="1113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地名命名、更名、登记审批</w:t>
            </w:r>
          </w:p>
        </w:tc>
        <w:tc>
          <w:tcPr>
            <w:tcW w:w="1058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</w:p>
        </w:tc>
        <w:tc>
          <w:tcPr>
            <w:tcW w:w="1263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hint="eastAsia" w:ascii="宋体" w:hAnsi="宋体" w:eastAsia="宋体" w:cs="宋体"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  <w:lang w:eastAsia="zh-CN"/>
              </w:rPr>
              <w:t>陵川县</w:t>
            </w:r>
          </w:p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民政局</w:t>
            </w:r>
          </w:p>
        </w:tc>
        <w:tc>
          <w:tcPr>
            <w:tcW w:w="864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行政</w:t>
            </w:r>
          </w:p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</w:p>
          <w:p>
            <w:pPr>
              <w:ind w:left="-105" w:leftChars="-50" w:right="-105" w:rightChars="-50"/>
              <w:jc w:val="center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许可</w:t>
            </w:r>
          </w:p>
        </w:tc>
        <w:tc>
          <w:tcPr>
            <w:tcW w:w="2466" w:type="dxa"/>
            <w:vAlign w:val="center"/>
          </w:tcPr>
          <w:p>
            <w:pPr>
              <w:ind w:left="-105" w:leftChars="-50" w:right="-105" w:rightChars="-50" w:firstLine="200" w:firstLineChars="100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《地名管理条例》第六款第六条　地名命名、更名的审批权限和程序如下：</w:t>
            </w:r>
          </w:p>
          <w:p>
            <w:pPr>
              <w:ind w:left="-105" w:leftChars="-50" w:right="-105" w:rightChars="-50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(六）城镇街道名称，由直辖市、市、县人民政府审批。</w:t>
            </w:r>
          </w:p>
        </w:tc>
        <w:tc>
          <w:tcPr>
            <w:tcW w:w="2970" w:type="dxa"/>
            <w:vAlign w:val="center"/>
          </w:tcPr>
          <w:p>
            <w:pPr>
              <w:ind w:left="-105" w:leftChars="-50" w:right="-105" w:rightChars="-50" w:firstLine="200" w:firstLineChars="100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1.受理责任：对申请人提交材料进行审查，材料齐备的，予以受理；申请材料不齐全或者不符合申请办理程序的,应告知申请人补齐资料或申请办理的相关程序。2.审查责任：对申请人提交的材料内容进行真实性审查。依法需要对申请材料的实质内容进行核实的，进行入户调查、走访核实。3.上报责任：符合办理条件的，及时上报，不符合条件的，不予办理。4.其他：法律法规规章规定应履行的责任。</w:t>
            </w:r>
          </w:p>
        </w:tc>
        <w:tc>
          <w:tcPr>
            <w:tcW w:w="3139" w:type="dxa"/>
            <w:vAlign w:val="center"/>
          </w:tcPr>
          <w:p>
            <w:pPr>
              <w:ind w:left="-105" w:leftChars="-50" w:right="-105" w:rightChars="-50" w:firstLine="200" w:firstLineChars="100"/>
              <w:rPr>
                <w:rFonts w:ascii="宋体" w:hAnsi="宋体" w:eastAsia="宋体" w:cs="宋体"/>
                <w:bCs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sz w:val="20"/>
                <w:szCs w:val="20"/>
              </w:rPr>
              <w:t>《山西省地名管理办法》第24条（二）擅自命名、更名的，责令停止使用，拒不执行的，对个人处50元以上500元以下罚款；对单位处500元以上1000元以下罚款，并强制改正；对前款规定罚款，单位不超过1000元，个人不超过500元。</w:t>
            </w:r>
          </w:p>
        </w:tc>
        <w:tc>
          <w:tcPr>
            <w:tcW w:w="873" w:type="dxa"/>
            <w:vAlign w:val="center"/>
          </w:tcPr>
          <w:p>
            <w:pPr>
              <w:spacing w:beforeLines="50" w:afterLines="50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618E"/>
    <w:rsid w:val="0039618E"/>
    <w:rsid w:val="003D190B"/>
    <w:rsid w:val="0065577E"/>
    <w:rsid w:val="00752376"/>
    <w:rsid w:val="17023586"/>
    <w:rsid w:val="39585473"/>
    <w:rsid w:val="4EF77581"/>
    <w:rsid w:val="59F17167"/>
    <w:rsid w:val="5EB05033"/>
    <w:rsid w:val="63457028"/>
    <w:rsid w:val="71D25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71</Words>
  <Characters>411</Characters>
  <Lines>3</Lines>
  <Paragraphs>1</Paragraphs>
  <TotalTime>0</TotalTime>
  <ScaleCrop>false</ScaleCrop>
  <LinksUpToDate>false</LinksUpToDate>
  <CharactersWithSpaces>481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2021-09-03T08:30:04Z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1266F98A1B6E44C7BBDAB9F510F58BBE</vt:lpwstr>
  </property>
</Properties>
</file>