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方正小标宋简体"/>
          <w:b/>
          <w:sz w:val="52"/>
          <w:szCs w:val="52"/>
        </w:rPr>
      </w:pPr>
      <w:r>
        <w:rPr>
          <w:rFonts w:hint="eastAsia" w:ascii="黑体" w:hAnsi="黑体" w:eastAsia="黑体" w:cs="方正小标宋简体"/>
          <w:b/>
          <w:sz w:val="52"/>
          <w:szCs w:val="52"/>
          <w:lang w:eastAsia="zh-CN"/>
        </w:rPr>
        <w:t>陵川县</w:t>
      </w:r>
      <w:r>
        <w:rPr>
          <w:rFonts w:hint="eastAsia" w:ascii="黑体" w:hAnsi="黑体" w:eastAsia="黑体" w:cs="方正小标宋简体"/>
          <w:b/>
          <w:sz w:val="52"/>
          <w:szCs w:val="52"/>
        </w:rPr>
        <w:t>退役军人事务局</w:t>
      </w:r>
    </w:p>
    <w:p>
      <w:pPr>
        <w:jc w:val="center"/>
        <w:rPr>
          <w:rFonts w:ascii="黑体" w:hAnsi="黑体" w:eastAsia="黑体" w:cs="方正小标宋简体"/>
          <w:b/>
          <w:sz w:val="52"/>
          <w:szCs w:val="52"/>
        </w:rPr>
      </w:pPr>
      <w:r>
        <w:rPr>
          <w:rFonts w:hint="eastAsia" w:ascii="黑体" w:hAnsi="黑体" w:eastAsia="黑体" w:cs="方正小标宋简体"/>
          <w:b/>
          <w:sz w:val="52"/>
          <w:szCs w:val="52"/>
        </w:rPr>
        <w:t>业务工作指南</w:t>
      </w:r>
    </w:p>
    <w:p>
      <w:pPr>
        <w:jc w:val="center"/>
        <w:rPr>
          <w:rFonts w:ascii="黑体" w:hAnsi="黑体" w:eastAsia="黑体" w:cs="黑体"/>
          <w:b/>
          <w:bCs/>
          <w:sz w:val="48"/>
          <w:szCs w:val="48"/>
        </w:rPr>
      </w:pPr>
    </w:p>
    <w:p>
      <w:pPr>
        <w:numPr>
          <w:ilvl w:val="0"/>
          <w:numId w:val="1"/>
        </w:numPr>
        <w:jc w:val="center"/>
        <w:rPr>
          <w:rFonts w:ascii="楷体" w:hAnsi="楷体" w:eastAsia="楷体" w:cs="楷体"/>
          <w:b/>
          <w:bCs/>
          <w:sz w:val="32"/>
          <w:szCs w:val="32"/>
        </w:rPr>
      </w:pPr>
      <w:r>
        <w:rPr>
          <w:rFonts w:hint="eastAsia" w:ascii="楷体" w:hAnsi="楷体" w:eastAsia="楷体" w:cs="楷体"/>
          <w:b/>
          <w:bCs/>
          <w:sz w:val="32"/>
          <w:szCs w:val="32"/>
        </w:rPr>
        <w:t>总则</w:t>
      </w:r>
    </w:p>
    <w:p>
      <w:pPr>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第一条</w:t>
      </w:r>
      <w:r>
        <w:rPr>
          <w:rFonts w:hint="eastAsia" w:ascii="仿宋_GB2312" w:hAnsi="仿宋_GB2312" w:eastAsia="仿宋_GB2312" w:cs="仿宋_GB2312"/>
          <w:sz w:val="28"/>
          <w:szCs w:val="28"/>
        </w:rPr>
        <w:t xml:space="preserve">  为贯彻落实《关于加快推进退役军人服务保障体系建设的意见》（中办发）〔2019〕7号）精神，推动我县退役军人工作规范化、制度化建设，夯实基层基础，促进我县退役军人服务保障工作上水平、上台阶，制定本指南。</w:t>
      </w:r>
    </w:p>
    <w:p>
      <w:pPr>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 xml:space="preserve">第二条  </w:t>
      </w:r>
      <w:r>
        <w:rPr>
          <w:rFonts w:hint="eastAsia" w:ascii="仿宋_GB2312" w:hAnsi="仿宋_GB2312" w:eastAsia="仿宋_GB2312" w:cs="仿宋_GB2312"/>
          <w:sz w:val="28"/>
          <w:szCs w:val="28"/>
        </w:rPr>
        <w:t>县退役军人事务部门处于退役军人工作的最前沿，是落实党和国家有关决策部署的关键环节，是直接联系服务退役军人的桥梁纽带，在做好退役军人服务保障工作中发挥着重要作用。</w:t>
      </w:r>
    </w:p>
    <w:p>
      <w:pPr>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 xml:space="preserve">第三条  </w:t>
      </w:r>
      <w:r>
        <w:rPr>
          <w:rFonts w:hint="eastAsia" w:ascii="仿宋_GB2312" w:hAnsi="仿宋_GB2312" w:eastAsia="仿宋_GB2312" w:cs="仿宋_GB2312"/>
          <w:sz w:val="28"/>
          <w:szCs w:val="28"/>
        </w:rPr>
        <w:t>县退役军人事务部门坚持以习近平新时代中国特色社会主义思想为指导，着眼“让退役军人满意，让他们成为全社会尊重的人，让军人成为全社会尊崇的职业”目标任务，坚持党的领导、坚持以退役军人为中心、坚持改革创新、坚持“军”的特色，努力打造退役军人之家，让退役军人有更多的荣誉感、获得感、归属感。</w:t>
      </w:r>
    </w:p>
    <w:p>
      <w:pPr>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 xml:space="preserve">第四条 </w:t>
      </w:r>
      <w:bookmarkStart w:id="0" w:name="_Hlk50372615"/>
      <w:r>
        <w:rPr>
          <w:rFonts w:hint="eastAsia" w:ascii="仿宋_GB2312" w:hAnsi="仿宋_GB2312" w:eastAsia="仿宋_GB2312" w:cs="仿宋_GB2312"/>
          <w:sz w:val="28"/>
          <w:szCs w:val="28"/>
        </w:rPr>
        <w:t>县退役军人</w:t>
      </w:r>
      <w:bookmarkEnd w:id="0"/>
      <w:r>
        <w:rPr>
          <w:rFonts w:hint="eastAsia" w:ascii="仿宋_GB2312" w:hAnsi="仿宋_GB2312" w:eastAsia="仿宋_GB2312" w:cs="仿宋_GB2312"/>
          <w:sz w:val="28"/>
          <w:szCs w:val="28"/>
        </w:rPr>
        <w:t>事务部门做好就业创业扶持、走访慰问、帮扶解困、信访接待、权益保障等退役军人事务领域服务性、保障性、事务性、延伸性工作，打通服务退役军人工作落实“最后一公里”。</w:t>
      </w:r>
    </w:p>
    <w:p>
      <w:pPr>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第五条</w:t>
      </w:r>
      <w:r>
        <w:rPr>
          <w:rFonts w:hint="eastAsia" w:ascii="仿宋_GB2312" w:hAnsi="仿宋_GB2312" w:eastAsia="仿宋_GB2312" w:cs="仿宋_GB2312"/>
          <w:sz w:val="28"/>
          <w:szCs w:val="28"/>
        </w:rPr>
        <w:t>县退役军人事务部门在市退役军人事务部门的指导下分层级履行职责，依法及时就地解决问题。</w:t>
      </w:r>
    </w:p>
    <w:p>
      <w:pPr>
        <w:jc w:val="center"/>
        <w:rPr>
          <w:rFonts w:ascii="楷体" w:hAnsi="楷体" w:eastAsia="楷体" w:cs="楷体"/>
          <w:b/>
          <w:bCs/>
          <w:sz w:val="32"/>
          <w:szCs w:val="32"/>
        </w:rPr>
      </w:pPr>
      <w:r>
        <w:rPr>
          <w:rFonts w:hint="eastAsia" w:ascii="楷体" w:hAnsi="楷体" w:eastAsia="楷体" w:cs="楷体"/>
          <w:b/>
          <w:bCs/>
          <w:sz w:val="32"/>
          <w:szCs w:val="32"/>
        </w:rPr>
        <w:t>第二章  健全制度机制</w:t>
      </w:r>
    </w:p>
    <w:p>
      <w:pPr>
        <w:ind w:firstLine="562" w:firstLineChars="200"/>
        <w:jc w:val="left"/>
        <w:rPr>
          <w:rFonts w:ascii="仿宋_GB2312" w:hAnsi="仿宋_GB2312" w:eastAsia="仿宋_GB2312" w:cs="仿宋_GB2312"/>
          <w:sz w:val="28"/>
          <w:szCs w:val="28"/>
        </w:rPr>
      </w:pPr>
      <w:r>
        <w:rPr>
          <w:rFonts w:hint="eastAsia" w:ascii="仿宋_GB2312" w:hAnsi="仿宋_GB2312" w:eastAsia="仿宋_GB2312" w:cs="仿宋_GB2312"/>
          <w:b/>
          <w:bCs/>
          <w:sz w:val="28"/>
          <w:szCs w:val="28"/>
        </w:rPr>
        <w:t>第六条</w:t>
      </w:r>
      <w:r>
        <w:rPr>
          <w:rFonts w:hint="eastAsia" w:ascii="仿宋_GB2312" w:hAnsi="仿宋_GB2312" w:eastAsia="仿宋_GB2312" w:cs="仿宋_GB2312"/>
          <w:sz w:val="28"/>
          <w:szCs w:val="28"/>
        </w:rPr>
        <w:t xml:space="preserve">  沟通交流制度。定期召开乡镇、村</w:t>
      </w:r>
      <w:r>
        <w:rPr>
          <w:rFonts w:hint="eastAsia" w:ascii="仿宋_GB2312" w:hAnsi="仿宋_GB2312" w:eastAsia="仿宋_GB2312" w:cs="仿宋_GB2312"/>
          <w:sz w:val="28"/>
          <w:szCs w:val="28"/>
          <w:lang w:eastAsia="zh-CN"/>
        </w:rPr>
        <w:t>（</w:t>
      </w:r>
      <w:bookmarkStart w:id="1" w:name="_GoBack"/>
      <w:bookmarkEnd w:id="1"/>
      <w:r>
        <w:rPr>
          <w:rFonts w:hint="eastAsia" w:ascii="仿宋_GB2312" w:hAnsi="仿宋_GB2312" w:eastAsia="仿宋_GB2312" w:cs="仿宋_GB2312"/>
          <w:sz w:val="28"/>
          <w:szCs w:val="28"/>
        </w:rPr>
        <w:t>社区</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退役军人服务站负责人会议。县退役军人服务中心每季度至少召开一次，乡镇退役军人服务站每月召开一次</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及时传达上级有关指示和政策文件精神，通报工作进展，分析研判形势，交流经验做法</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研究部署工作。</w:t>
      </w:r>
    </w:p>
    <w:p>
      <w:pPr>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第七条</w:t>
      </w:r>
      <w:r>
        <w:rPr>
          <w:rFonts w:hint="eastAsia" w:ascii="仿宋_GB2312" w:hAnsi="仿宋_GB2312" w:eastAsia="仿宋_GB2312" w:cs="仿宋_GB2312"/>
          <w:sz w:val="28"/>
          <w:szCs w:val="28"/>
        </w:rPr>
        <w:t xml:space="preserve">  业务培训制度。及时选派人员参加上级组织的退役军人事务工作人员培训。县退役军人事务部门适时采取举办专题培训班、以会代训等方式，每半年至少组织一次工作人员业务培训，不断提高综合素质。</w:t>
      </w:r>
    </w:p>
    <w:p>
      <w:pPr>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第八条</w:t>
      </w:r>
      <w:r>
        <w:rPr>
          <w:rFonts w:hint="eastAsia" w:ascii="仿宋_GB2312" w:hAnsi="仿宋_GB2312" w:eastAsia="仿宋_GB2312" w:cs="仿宋_GB2312"/>
          <w:sz w:val="28"/>
          <w:szCs w:val="28"/>
        </w:rPr>
        <w:t xml:space="preserve">  疑难问题化解制度。对乡镇退役军人服务站上报的问题和困难，县退役军人事务部门原则上每月根据情况及时专题研究</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力争推动解决</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解决不了的重大疑难复杂事项，应当及时上报。</w:t>
      </w:r>
    </w:p>
    <w:p>
      <w:pPr>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 xml:space="preserve">第九条 </w:t>
      </w:r>
      <w:r>
        <w:rPr>
          <w:rFonts w:hint="eastAsia" w:ascii="仿宋_GB2312" w:hAnsi="仿宋_GB2312" w:eastAsia="仿宋_GB2312" w:cs="仿宋_GB2312"/>
          <w:sz w:val="28"/>
          <w:szCs w:val="28"/>
        </w:rPr>
        <w:t xml:space="preserve"> 网格化服务管理制度。推动退役军人服务管理资源和工作力量向网格延伸</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形成以村</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社区</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为主体、以网格为基本单元的精细化服务管理体系。</w:t>
      </w:r>
    </w:p>
    <w:p>
      <w:pPr>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第十条</w:t>
      </w:r>
      <w:r>
        <w:rPr>
          <w:rFonts w:hint="eastAsia" w:ascii="仿宋_GB2312" w:hAnsi="仿宋_GB2312" w:eastAsia="仿宋_GB2312" w:cs="仿宋_GB2312"/>
          <w:sz w:val="28"/>
          <w:szCs w:val="28"/>
        </w:rPr>
        <w:t xml:space="preserve">  台账管理制度。按照分类管理、责任到人的要求</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对思想政治和党员教育管理、就业创业指导、信访接待、走访慰问、帮扶援助等工作</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分门别类建立台账</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并指定专人负责。</w:t>
      </w:r>
    </w:p>
    <w:p>
      <w:pPr>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第十一条</w:t>
      </w:r>
      <w:r>
        <w:rPr>
          <w:rFonts w:hint="eastAsia" w:ascii="仿宋_GB2312" w:hAnsi="仿宋_GB2312" w:eastAsia="仿宋_GB2312" w:cs="仿宋_GB2312"/>
          <w:sz w:val="28"/>
          <w:szCs w:val="28"/>
        </w:rPr>
        <w:t xml:space="preserve">  平台使用管理和信息更新制度。加强全国退役军人事务综合管理平台，在县退役军人事务部门的使用，充分利用“五个平台”，即退役军人服务中心</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站</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系统综合服务平台、退役军人学习教育平台、退役军人权益维护平台、退役军人就业创业扶持平台、帮扶援助平台推进业务线上受理办理。全面准确采集并动态更新退役军人基础信息数据，及时录</w:t>
      </w:r>
      <w:r>
        <w:rPr>
          <w:rFonts w:hint="eastAsia" w:ascii="仿宋_GB2312" w:hAnsi="仿宋_GB2312" w:eastAsia="仿宋_GB2312" w:cs="仿宋_GB2312"/>
          <w:sz w:val="28"/>
          <w:szCs w:val="28"/>
          <w:lang w:eastAsia="zh-CN"/>
        </w:rPr>
        <w:t>入</w:t>
      </w:r>
      <w:r>
        <w:rPr>
          <w:rFonts w:hint="eastAsia" w:ascii="仿宋_GB2312" w:hAnsi="仿宋_GB2312" w:eastAsia="仿宋_GB2312" w:cs="仿宋_GB2312"/>
          <w:sz w:val="28"/>
          <w:szCs w:val="28"/>
        </w:rPr>
        <w:t>信息平台</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做到底数清、情况明、无遗漏。</w:t>
      </w:r>
    </w:p>
    <w:p>
      <w:pPr>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第十二条</w:t>
      </w: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lang w:eastAsia="zh-CN"/>
        </w:rPr>
        <w:t>舆情</w:t>
      </w:r>
      <w:r>
        <w:rPr>
          <w:rFonts w:hint="eastAsia" w:ascii="仿宋_GB2312" w:hAnsi="仿宋_GB2312" w:eastAsia="仿宋_GB2312" w:cs="仿宋_GB2312"/>
          <w:sz w:val="28"/>
          <w:szCs w:val="28"/>
        </w:rPr>
        <w:t>信息上报制度。县退役军人事务部门密切关注、分析研判、逐级即时上报涉退役军人舆情信息，为上级决策提供参考。</w:t>
      </w:r>
    </w:p>
    <w:p>
      <w:pPr>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第十三条</w:t>
      </w:r>
      <w:r>
        <w:rPr>
          <w:rFonts w:hint="eastAsia" w:ascii="仿宋_GB2312" w:hAnsi="仿宋_GB2312" w:eastAsia="仿宋_GB2312" w:cs="仿宋_GB2312"/>
          <w:sz w:val="28"/>
          <w:szCs w:val="28"/>
        </w:rPr>
        <w:t xml:space="preserve">  资源共享制度。完善我县退役军人建档立卡等基础性工作</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做好县退役军人事务系统内相关资源对接共享，推动退役军人平台资源共享，与其他公共服务平台对接融合，最大限度方便退役军人。</w:t>
      </w:r>
    </w:p>
    <w:p>
      <w:pPr>
        <w:jc w:val="center"/>
        <w:rPr>
          <w:rFonts w:ascii="楷体" w:hAnsi="楷体" w:eastAsia="楷体" w:cs="楷体"/>
          <w:b/>
          <w:bCs/>
          <w:sz w:val="32"/>
          <w:szCs w:val="32"/>
        </w:rPr>
      </w:pPr>
      <w:r>
        <w:rPr>
          <w:rFonts w:hint="eastAsia" w:ascii="楷体" w:hAnsi="楷体" w:eastAsia="楷体" w:cs="楷体"/>
          <w:b/>
          <w:bCs/>
          <w:sz w:val="32"/>
          <w:szCs w:val="32"/>
        </w:rPr>
        <w:t>第三章  坚持思想政治引领</w:t>
      </w:r>
    </w:p>
    <w:p>
      <w:pPr>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第十四条</w:t>
      </w:r>
      <w:r>
        <w:rPr>
          <w:rFonts w:hint="eastAsia" w:ascii="仿宋_GB2312" w:hAnsi="仿宋_GB2312" w:eastAsia="仿宋_GB2312" w:cs="仿宋_GB2312"/>
          <w:sz w:val="28"/>
          <w:szCs w:val="28"/>
        </w:rPr>
        <w:t xml:space="preserve">  以习近平新时代中国特色社会主义思想为指导，坚持党对退役军人工作的领导</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增强“四个意识”、坚定“四个自信”、做到“两个维护”，自觉在思想上政治上行动上同以习近平同志为核心的党中央保持高度一致。</w:t>
      </w:r>
    </w:p>
    <w:p>
      <w:pPr>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第十五条</w:t>
      </w:r>
      <w:r>
        <w:rPr>
          <w:rFonts w:hint="eastAsia" w:ascii="仿宋_GB2312" w:hAnsi="仿宋_GB2312" w:eastAsia="仿宋_GB2312" w:cs="仿宋_GB2312"/>
          <w:sz w:val="28"/>
          <w:szCs w:val="28"/>
        </w:rPr>
        <w:t xml:space="preserve">  创新载体、搭建平台，组织退役军人持续开展习近平新时代中国特色社会主义思想、党的路线方针政策、党和国家法律法规及退役军人有关政策学习宣传，教育引导广大退役军人牢固树立理想信念，永葆政治本色，建功新时代。</w:t>
      </w:r>
    </w:p>
    <w:p>
      <w:pPr>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第十六条</w:t>
      </w:r>
      <w:r>
        <w:rPr>
          <w:rFonts w:hint="eastAsia" w:ascii="仿宋_GB2312" w:hAnsi="仿宋_GB2312" w:eastAsia="仿宋_GB2312" w:cs="仿宋_GB2312"/>
          <w:sz w:val="28"/>
          <w:szCs w:val="28"/>
        </w:rPr>
        <w:t xml:space="preserve">  协助县委组织部门建立健全退役军人党员教育管理工作机制，做好组织关系转接，将每名退役军人党员及时编入退役军人事务局党支部，确保退役军人党员过好党内政治生活。</w:t>
      </w:r>
    </w:p>
    <w:p>
      <w:pPr>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第十七条</w:t>
      </w:r>
      <w:r>
        <w:rPr>
          <w:rFonts w:hint="eastAsia" w:ascii="仿宋_GB2312" w:hAnsi="仿宋_GB2312" w:eastAsia="仿宋_GB2312" w:cs="仿宋_GB2312"/>
          <w:sz w:val="28"/>
          <w:szCs w:val="28"/>
        </w:rPr>
        <w:t xml:space="preserve">  组织退役军人通过 “志愿服务队”、“模范示范岗”、等多种方式，在应急救援、社会治理、环境保护、脱贫攻坚、国防教育等方面发挥示范带动作用。</w:t>
      </w:r>
    </w:p>
    <w:p>
      <w:pPr>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第十八条</w:t>
      </w:r>
      <w:r>
        <w:rPr>
          <w:rFonts w:hint="eastAsia" w:ascii="仿宋_GB2312" w:hAnsi="仿宋_GB2312" w:eastAsia="仿宋_GB2312" w:cs="仿宋_GB2312"/>
          <w:sz w:val="28"/>
          <w:szCs w:val="28"/>
        </w:rPr>
        <w:t xml:space="preserve">  挖掘、培树，宣传优秀退役军人典型，开展退役军人评星级活动，创建星级退役军人“光荣墙”、“荣誉榜”，邀请优秀退役军人参加重要节庆活动。结合“八一”、“十一”等重要节日</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充分利用县红色教育资源</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开展丰富多彩的学习教育活动。</w:t>
      </w:r>
    </w:p>
    <w:p>
      <w:pPr>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第十九条</w:t>
      </w:r>
      <w:r>
        <w:rPr>
          <w:rFonts w:hint="eastAsia" w:ascii="仿宋_GB2312" w:hAnsi="仿宋_GB2312" w:eastAsia="仿宋_GB2312" w:cs="仿宋_GB2312"/>
          <w:sz w:val="28"/>
          <w:szCs w:val="28"/>
        </w:rPr>
        <w:t>加强退役军人服务中心</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站</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场所政治文化环境建设，体现“军”的特色；利用报纸、广播、电视等传统媒体和“三微一端”等新兴媒体，采取登门</w:t>
      </w:r>
      <w:r>
        <w:rPr>
          <w:rFonts w:hint="eastAsia" w:ascii="仿宋_GB2312" w:hAnsi="仿宋_GB2312" w:eastAsia="仿宋_GB2312" w:cs="仿宋_GB2312"/>
          <w:sz w:val="28"/>
          <w:szCs w:val="28"/>
          <w:lang w:eastAsia="zh-CN"/>
        </w:rPr>
        <w:t>入户</w:t>
      </w:r>
      <w:r>
        <w:rPr>
          <w:rFonts w:hint="eastAsia" w:ascii="仿宋_GB2312" w:hAnsi="仿宋_GB2312" w:eastAsia="仿宋_GB2312" w:cs="仿宋_GB2312"/>
          <w:sz w:val="28"/>
          <w:szCs w:val="28"/>
        </w:rPr>
        <w:t>、座谈交流等方式，广泛深入宣传党和政府对退役军人的关心关怀。</w:t>
      </w:r>
    </w:p>
    <w:p>
      <w:pPr>
        <w:jc w:val="center"/>
        <w:rPr>
          <w:rFonts w:ascii="楷体" w:hAnsi="楷体" w:eastAsia="楷体" w:cs="楷体"/>
          <w:b/>
          <w:bCs/>
          <w:sz w:val="32"/>
          <w:szCs w:val="32"/>
        </w:rPr>
      </w:pPr>
      <w:r>
        <w:rPr>
          <w:rFonts w:hint="eastAsia" w:ascii="楷体" w:hAnsi="楷体" w:eastAsia="楷体" w:cs="楷体"/>
          <w:b/>
          <w:bCs/>
          <w:sz w:val="32"/>
          <w:szCs w:val="32"/>
        </w:rPr>
        <w:t>第四章  扶持就业创业</w:t>
      </w:r>
    </w:p>
    <w:p>
      <w:pPr>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第二十条</w:t>
      </w:r>
      <w:r>
        <w:rPr>
          <w:rFonts w:hint="eastAsia" w:ascii="仿宋_GB2312" w:hAnsi="仿宋_GB2312" w:eastAsia="仿宋_GB2312" w:cs="仿宋_GB2312"/>
          <w:sz w:val="28"/>
          <w:szCs w:val="28"/>
        </w:rPr>
        <w:t xml:space="preserve">  搭建就业创业平台，掌握退役军人就业需求和就业底数，实行实名动态管理、挖掘就业资源和就业机会、岗位，积极争取和推动落实优惠政策，为退役军人就业创业提供便利条件。</w:t>
      </w:r>
    </w:p>
    <w:p>
      <w:pPr>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第二十一条</w:t>
      </w:r>
      <w:r>
        <w:rPr>
          <w:rFonts w:hint="eastAsia" w:ascii="仿宋_GB2312" w:hAnsi="仿宋_GB2312" w:eastAsia="仿宋_GB2312" w:cs="仿宋_GB2312"/>
          <w:sz w:val="28"/>
          <w:szCs w:val="28"/>
        </w:rPr>
        <w:t xml:space="preserve">  积极组织退役军人参加全员适应性培训、职业技能培训等培训项目</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通过线上线下专场招聘会、推介会等方式，着力推动退役军人就业。</w:t>
      </w:r>
    </w:p>
    <w:p>
      <w:pPr>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 xml:space="preserve">第二十二条 </w:t>
      </w:r>
      <w:r>
        <w:rPr>
          <w:rFonts w:hint="eastAsia" w:ascii="仿宋_GB2312" w:hAnsi="仿宋_GB2312" w:eastAsia="仿宋_GB2312" w:cs="仿宋_GB2312"/>
          <w:sz w:val="28"/>
          <w:szCs w:val="28"/>
        </w:rPr>
        <w:t xml:space="preserve"> 充分发挥退役军人长期接受党和部队教育、组织纪律意识强、综合素质高等优势，激发退役军人自主创业的内在动力</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积极开发推介适合退役军人的创业项目，注重培育退役军人致富带头人。</w:t>
      </w:r>
    </w:p>
    <w:p>
      <w:pPr>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第二十三条</w:t>
      </w:r>
      <w:r>
        <w:rPr>
          <w:rFonts w:hint="eastAsia" w:ascii="仿宋_GB2312" w:hAnsi="仿宋_GB2312" w:eastAsia="仿宋_GB2312" w:cs="仿宋_GB2312"/>
          <w:sz w:val="28"/>
          <w:szCs w:val="28"/>
        </w:rPr>
        <w:t xml:space="preserve">  加强就业帮扶，对下岗失业的退役军人，及时纳入再就业重点帮扶范围，实现上岗再就业。</w:t>
      </w:r>
    </w:p>
    <w:p>
      <w:pPr>
        <w:ind w:firstLine="643" w:firstLineChars="200"/>
        <w:jc w:val="center"/>
        <w:rPr>
          <w:rFonts w:ascii="楷体" w:hAnsi="楷体" w:eastAsia="楷体" w:cs="楷体"/>
          <w:b/>
          <w:bCs/>
          <w:sz w:val="32"/>
          <w:szCs w:val="32"/>
        </w:rPr>
      </w:pPr>
      <w:r>
        <w:rPr>
          <w:rFonts w:hint="eastAsia" w:ascii="楷体" w:hAnsi="楷体" w:eastAsia="楷体" w:cs="楷体"/>
          <w:b/>
          <w:bCs/>
          <w:sz w:val="32"/>
          <w:szCs w:val="32"/>
        </w:rPr>
        <w:t>第五章  常态化走访慰问</w:t>
      </w:r>
    </w:p>
    <w:p>
      <w:pPr>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第二十四条</w:t>
      </w:r>
      <w:r>
        <w:rPr>
          <w:rFonts w:hint="eastAsia" w:ascii="仿宋_GB2312" w:hAnsi="仿宋_GB2312" w:eastAsia="仿宋_GB2312" w:cs="仿宋_GB2312"/>
          <w:sz w:val="28"/>
          <w:szCs w:val="28"/>
        </w:rPr>
        <w:t xml:space="preserve">  保持经常化沟通联系，多到退役军人家里“走亲戚”、“拉家常”，面对面交流、手拉手交谈、心贴心服务，拉近与服务对象的情感和心理距离，及时将县委、县政府的关怀温暖传递给每一名退役军人。</w:t>
      </w:r>
    </w:p>
    <w:p>
      <w:pPr>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第二十五条</w:t>
      </w:r>
      <w:r>
        <w:rPr>
          <w:rFonts w:hint="eastAsia" w:ascii="仿宋_GB2312" w:hAnsi="仿宋_GB2312" w:eastAsia="仿宋_GB2312" w:cs="仿宋_GB2312"/>
          <w:sz w:val="28"/>
          <w:szCs w:val="28"/>
        </w:rPr>
        <w:t xml:space="preserve">  广泛开展慰问活动，“八一”、春节等节日做到普遍走访慰问</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重要节点、重点对象专项慰问，遇有特殊困难的退役军人和重点优抚对象，适时视情县委、县政府主要领导同志进行慰问。</w:t>
      </w:r>
    </w:p>
    <w:p>
      <w:pPr>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 xml:space="preserve">第二十六条  </w:t>
      </w:r>
      <w:r>
        <w:rPr>
          <w:rFonts w:hint="eastAsia" w:ascii="仿宋_GB2312" w:hAnsi="仿宋_GB2312" w:eastAsia="仿宋_GB2312" w:cs="仿宋_GB2312"/>
          <w:sz w:val="28"/>
          <w:szCs w:val="28"/>
        </w:rPr>
        <w:t>关心关爱军属烈属，主动登门走访、了解困难和需求</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提供精细化服务，帮助他们解决实际问题</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营造拥军优属的社会氛围。</w:t>
      </w:r>
    </w:p>
    <w:p>
      <w:pPr>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第二十七条</w:t>
      </w:r>
      <w:r>
        <w:rPr>
          <w:rFonts w:hint="eastAsia" w:ascii="仿宋_GB2312" w:hAnsi="仿宋_GB2312" w:eastAsia="仿宋_GB2312" w:cs="仿宋_GB2312"/>
          <w:sz w:val="28"/>
          <w:szCs w:val="28"/>
        </w:rPr>
        <w:t xml:space="preserve">  突出走访重点、做到“六必访”</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退役返乡必访，立功受奖必访</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英模典型必访</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重要节日必访，遇到困难必访，重大变故必访。</w:t>
      </w:r>
    </w:p>
    <w:p>
      <w:pPr>
        <w:ind w:firstLine="643" w:firstLineChars="200"/>
        <w:jc w:val="center"/>
        <w:rPr>
          <w:rFonts w:ascii="楷体" w:hAnsi="楷体" w:eastAsia="楷体" w:cs="楷体"/>
          <w:b/>
          <w:bCs/>
          <w:sz w:val="32"/>
          <w:szCs w:val="32"/>
        </w:rPr>
      </w:pPr>
      <w:r>
        <w:rPr>
          <w:rFonts w:hint="eastAsia" w:ascii="楷体" w:hAnsi="楷体" w:eastAsia="楷体" w:cs="楷体"/>
          <w:b/>
          <w:bCs/>
          <w:sz w:val="32"/>
          <w:szCs w:val="32"/>
        </w:rPr>
        <w:t>第六章  精准帮扶解困</w:t>
      </w:r>
    </w:p>
    <w:p>
      <w:pPr>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第二十八条</w:t>
      </w:r>
      <w:r>
        <w:rPr>
          <w:rFonts w:hint="eastAsia" w:ascii="仿宋_GB2312" w:hAnsi="仿宋_GB2312" w:eastAsia="仿宋_GB2312" w:cs="仿宋_GB2312"/>
          <w:sz w:val="28"/>
          <w:szCs w:val="28"/>
        </w:rPr>
        <w:t xml:space="preserve">  帮助符合条件的服务对象按要求申报享受低保、国家供养、专项救助、临时救济等待遇。有关信息及时向服务对象公开，接受社会监督，确保全过程公开透明、公正公平。</w:t>
      </w:r>
    </w:p>
    <w:p>
      <w:pPr>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第二十九条</w:t>
      </w:r>
      <w:r>
        <w:rPr>
          <w:rFonts w:hint="eastAsia" w:ascii="仿宋_GB2312" w:hAnsi="仿宋_GB2312" w:eastAsia="仿宋_GB2312" w:cs="仿宋_GB2312"/>
          <w:sz w:val="28"/>
          <w:szCs w:val="28"/>
        </w:rPr>
        <w:t xml:space="preserve">  针对生活存在特殊困难的退役军人，按照“一人一策”制定帮扶计划。积极动员机关事业单位、企业和社会组织，采取捐款捐物、发放援助金等方式，帮助解决实际困难。</w:t>
      </w:r>
    </w:p>
    <w:p>
      <w:pPr>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 xml:space="preserve">第三十条 </w:t>
      </w:r>
      <w:r>
        <w:rPr>
          <w:rFonts w:hint="eastAsia" w:ascii="仿宋_GB2312" w:hAnsi="仿宋_GB2312" w:eastAsia="仿宋_GB2312" w:cs="仿宋_GB2312"/>
          <w:sz w:val="28"/>
          <w:szCs w:val="28"/>
        </w:rPr>
        <w:t xml:space="preserve"> 积极筹措社会资金，争取慈善资金</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开展帮扶救助活动，帮助因病、因残、因灾</w:t>
      </w:r>
      <w:r>
        <w:rPr>
          <w:rFonts w:hint="eastAsia" w:ascii="仿宋_GB2312" w:hAnsi="仿宋_GB2312" w:eastAsia="仿宋_GB2312" w:cs="仿宋_GB2312"/>
          <w:sz w:val="28"/>
          <w:szCs w:val="28"/>
          <w:lang w:eastAsia="zh-CN"/>
        </w:rPr>
        <w:t>陷入</w:t>
      </w:r>
      <w:r>
        <w:rPr>
          <w:rFonts w:hint="eastAsia" w:ascii="仿宋_GB2312" w:hAnsi="仿宋_GB2312" w:eastAsia="仿宋_GB2312" w:cs="仿宋_GB2312"/>
          <w:sz w:val="28"/>
          <w:szCs w:val="28"/>
        </w:rPr>
        <w:t>困难的退役军人渡过难关。</w:t>
      </w:r>
    </w:p>
    <w:p>
      <w:pPr>
        <w:ind w:firstLine="643" w:firstLineChars="200"/>
        <w:jc w:val="center"/>
        <w:rPr>
          <w:rFonts w:ascii="楷体" w:hAnsi="楷体" w:eastAsia="楷体" w:cs="楷体"/>
          <w:b/>
          <w:bCs/>
          <w:sz w:val="32"/>
          <w:szCs w:val="32"/>
        </w:rPr>
      </w:pPr>
      <w:r>
        <w:rPr>
          <w:rFonts w:hint="eastAsia" w:ascii="楷体" w:hAnsi="楷体" w:eastAsia="楷体" w:cs="楷体"/>
          <w:b/>
          <w:bCs/>
          <w:sz w:val="32"/>
          <w:szCs w:val="32"/>
        </w:rPr>
        <w:t>第七章  化解信访问题</w:t>
      </w:r>
    </w:p>
    <w:p>
      <w:pPr>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第三十一条</w:t>
      </w:r>
      <w:r>
        <w:rPr>
          <w:rFonts w:hint="eastAsia" w:ascii="仿宋_GB2312" w:hAnsi="仿宋_GB2312" w:eastAsia="仿宋_GB2312" w:cs="仿宋_GB2312"/>
          <w:sz w:val="28"/>
          <w:szCs w:val="28"/>
        </w:rPr>
        <w:t xml:space="preserve">  依法及时办理服务对象来信、来访、网上和电话信访等事项，推动诉求合理的解决问题到位、诉求无理的思想疏导到位、生活困难的帮扶救助到位，就地化解矛盾问题，做到小事不出村</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社区</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、一般事项不出乡镇，绝大部分问题在县内得到解决。</w:t>
      </w:r>
    </w:p>
    <w:p>
      <w:pPr>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第三十二条</w:t>
      </w:r>
      <w:r>
        <w:rPr>
          <w:rFonts w:hint="eastAsia" w:ascii="仿宋_GB2312" w:hAnsi="仿宋_GB2312" w:eastAsia="仿宋_GB2312" w:cs="仿宋_GB2312"/>
          <w:sz w:val="28"/>
          <w:szCs w:val="28"/>
        </w:rPr>
        <w:t xml:space="preserve">  建立接访温馨服务窗口</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来访接待热情周到，做到“一张笑脸、一声问候、一杯热水、一把椅子、一站服务 、一办到底”</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主动询问了解，有问题必解答，有诉求必回应。</w:t>
      </w:r>
    </w:p>
    <w:p>
      <w:pPr>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第三十三条</w:t>
      </w:r>
      <w:r>
        <w:rPr>
          <w:rFonts w:hint="eastAsia" w:ascii="仿宋_GB2312" w:hAnsi="仿宋_GB2312" w:eastAsia="仿宋_GB2312" w:cs="仿宋_GB2312"/>
          <w:sz w:val="28"/>
          <w:szCs w:val="28"/>
        </w:rPr>
        <w:t xml:space="preserve">  充分发挥信访工作“晴雨表”作用，实时梳理汇总突出敏感信访问题，加强信访稳定形势分析研判</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定期上报有关情况</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重大情况随时报告。</w:t>
      </w:r>
    </w:p>
    <w:p>
      <w:pPr>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 xml:space="preserve">第三十四条 </w:t>
      </w:r>
      <w:r>
        <w:rPr>
          <w:rFonts w:hint="eastAsia" w:ascii="仿宋_GB2312" w:hAnsi="仿宋_GB2312" w:eastAsia="仿宋_GB2312" w:cs="仿宋_GB2312"/>
          <w:sz w:val="28"/>
          <w:szCs w:val="28"/>
        </w:rPr>
        <w:t xml:space="preserve"> 经常性开展矛盾纠纷排查化解工作，确保影响稳定的苗头隐患发现在早、化解在小，坚决避免小事拖大、大事拖炸。</w:t>
      </w:r>
    </w:p>
    <w:p>
      <w:pPr>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 xml:space="preserve">第三十五条 </w:t>
      </w:r>
      <w:r>
        <w:rPr>
          <w:rFonts w:hint="eastAsia" w:ascii="仿宋_GB2312" w:hAnsi="仿宋_GB2312" w:eastAsia="仿宋_GB2312" w:cs="仿宋_GB2312"/>
          <w:sz w:val="28"/>
          <w:szCs w:val="28"/>
        </w:rPr>
        <w:t xml:space="preserve"> 开展疑难复杂信访事项攻坚化解工作，通过落实首办责任，建立重点问题领导包案、重点对象“一对一”包联、重大事项“一案一专班”制度，推动息诉罢访</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高度重视上级交办、督办信访事项，做到办理有着落、结果有反馈，问题不解决不放手。</w:t>
      </w:r>
    </w:p>
    <w:p>
      <w:pPr>
        <w:jc w:val="center"/>
        <w:rPr>
          <w:rFonts w:ascii="楷体" w:hAnsi="楷体" w:eastAsia="楷体" w:cs="楷体"/>
          <w:b/>
          <w:bCs/>
          <w:sz w:val="32"/>
          <w:szCs w:val="32"/>
        </w:rPr>
      </w:pPr>
      <w:r>
        <w:rPr>
          <w:rFonts w:hint="eastAsia" w:ascii="楷体" w:hAnsi="楷体" w:eastAsia="楷体" w:cs="楷体"/>
          <w:b/>
          <w:bCs/>
          <w:sz w:val="32"/>
          <w:szCs w:val="32"/>
        </w:rPr>
        <w:t>第八章  维护合法权益</w:t>
      </w:r>
    </w:p>
    <w:p>
      <w:pPr>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第三十六条</w:t>
      </w:r>
      <w:r>
        <w:rPr>
          <w:rFonts w:hint="eastAsia" w:ascii="仿宋_GB2312" w:hAnsi="仿宋_GB2312" w:eastAsia="仿宋_GB2312" w:cs="仿宋_GB2312"/>
          <w:sz w:val="28"/>
          <w:szCs w:val="28"/>
        </w:rPr>
        <w:t xml:space="preserve">  加强普法宣传工作力度</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引导广大退役军人尊法、学法、守法、用法，依法维护自身合法权益。</w:t>
      </w:r>
    </w:p>
    <w:p>
      <w:pPr>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第三十七条</w:t>
      </w:r>
      <w:r>
        <w:rPr>
          <w:rFonts w:hint="eastAsia" w:ascii="仿宋_GB2312" w:hAnsi="仿宋_GB2312" w:eastAsia="仿宋_GB2312" w:cs="仿宋_GB2312"/>
          <w:sz w:val="28"/>
          <w:szCs w:val="28"/>
        </w:rPr>
        <w:t xml:space="preserve">  推动精准落实党和国家关于退役军人的相关政策，并根据我县实际情况，明确优待退役军人的事项和内容，提升退役军人荣誉感。</w:t>
      </w:r>
    </w:p>
    <w:p>
      <w:pPr>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第三十八条</w:t>
      </w:r>
      <w:r>
        <w:rPr>
          <w:rFonts w:hint="eastAsia" w:ascii="仿宋_GB2312" w:hAnsi="仿宋_GB2312" w:eastAsia="仿宋_GB2312" w:cs="仿宋_GB2312"/>
          <w:sz w:val="28"/>
          <w:szCs w:val="28"/>
        </w:rPr>
        <w:t xml:space="preserve">  加强与相关部门沟通协调，拓展范用领域，构建行政调解、司法调解、人民调解、军地联合调解有效衔接、互为补充的综合调解体系；采取政府购买服务等方式</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在退役军人服务中心设立法律援助、心理疏导室，提供经常性法律咨询服务</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体现人文关怀。</w:t>
      </w:r>
    </w:p>
    <w:p>
      <w:pPr>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 xml:space="preserve">第三十九条 </w:t>
      </w:r>
      <w:r>
        <w:rPr>
          <w:rFonts w:hint="eastAsia" w:ascii="仿宋_GB2312" w:hAnsi="仿宋_GB2312" w:eastAsia="仿宋_GB2312" w:cs="仿宋_GB2312"/>
          <w:sz w:val="28"/>
          <w:szCs w:val="28"/>
        </w:rPr>
        <w:t xml:space="preserve"> 为军人和退役军人家庭送喜报</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为烈属、军属、退役军人家庭发放、悬挂光荣牌，注重仪式感</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营造尊崇氛围。</w:t>
      </w:r>
    </w:p>
    <w:p>
      <w:pPr>
        <w:jc w:val="center"/>
        <w:rPr>
          <w:rFonts w:ascii="楷体" w:hAnsi="楷体" w:eastAsia="楷体" w:cs="楷体"/>
          <w:b/>
          <w:bCs/>
          <w:sz w:val="32"/>
          <w:szCs w:val="32"/>
        </w:rPr>
      </w:pPr>
      <w:r>
        <w:rPr>
          <w:rFonts w:hint="eastAsia" w:ascii="楷体" w:hAnsi="楷体" w:eastAsia="楷体" w:cs="楷体"/>
          <w:b/>
          <w:bCs/>
          <w:sz w:val="32"/>
          <w:szCs w:val="32"/>
        </w:rPr>
        <w:t>第九章  加强自身建设</w:t>
      </w:r>
    </w:p>
    <w:p>
      <w:pPr>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第四十条</w:t>
      </w:r>
      <w:r>
        <w:rPr>
          <w:rFonts w:hint="eastAsia" w:ascii="仿宋_GB2312" w:hAnsi="仿宋_GB2312" w:eastAsia="仿宋_GB2312" w:cs="仿宋_GB2312"/>
          <w:sz w:val="28"/>
          <w:szCs w:val="28"/>
        </w:rPr>
        <w:t xml:space="preserve">  把政治建设放在首位，全面加强党对退役军人工作的领导，强化思想建设、组织建设、作风建设</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着力打造忠诚干净担当的干部队伍。</w:t>
      </w:r>
    </w:p>
    <w:p>
      <w:pPr>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第四十一条</w:t>
      </w:r>
      <w:r>
        <w:rPr>
          <w:rFonts w:hint="eastAsia" w:ascii="仿宋_GB2312" w:hAnsi="仿宋_GB2312" w:eastAsia="仿宋_GB2312" w:cs="仿宋_GB2312"/>
          <w:sz w:val="28"/>
          <w:szCs w:val="28"/>
        </w:rPr>
        <w:t xml:space="preserve">  提升文明服务意识，按照规范服务的要求，使用文明用语，带着责任、感情和温度提供热情周到细致的服务，充分展示退役军人事务部门工作人员良好精神风貌。</w:t>
      </w:r>
    </w:p>
    <w:p>
      <w:pPr>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第四十二条</w:t>
      </w:r>
      <w:r>
        <w:rPr>
          <w:rFonts w:hint="eastAsia" w:ascii="仿宋_GB2312" w:hAnsi="仿宋_GB2312" w:eastAsia="仿宋_GB2312" w:cs="仿宋_GB2312"/>
          <w:sz w:val="28"/>
          <w:szCs w:val="28"/>
        </w:rPr>
        <w:t xml:space="preserve">  公开县退役军人服务中心</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站</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工作人员联系电话，制作便民服务卡</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对年龄偏大、行动不便、鳏寡孤独等重点服务对象推行上门服务和全程代办，采取预约办理和“互联网+”服务，提高办事效率。</w:t>
      </w:r>
    </w:p>
    <w:p>
      <w:pPr>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第四十三条</w:t>
      </w:r>
      <w:r>
        <w:rPr>
          <w:rFonts w:hint="eastAsia" w:ascii="仿宋_GB2312" w:hAnsi="仿宋_GB2312" w:eastAsia="仿宋_GB2312" w:cs="仿宋_GB2312"/>
          <w:sz w:val="28"/>
          <w:szCs w:val="28"/>
        </w:rPr>
        <w:t xml:space="preserve">  每半年对工作情况和成效集中开展一次总结评估，逐级上报。</w:t>
      </w:r>
    </w:p>
    <w:p>
      <w:pPr>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第四十四条</w:t>
      </w:r>
      <w:r>
        <w:rPr>
          <w:rFonts w:hint="eastAsia" w:ascii="仿宋_GB2312" w:hAnsi="仿宋_GB2312" w:eastAsia="仿宋_GB2312" w:cs="仿宋_GB2312"/>
          <w:sz w:val="28"/>
          <w:szCs w:val="28"/>
        </w:rPr>
        <w:t xml:space="preserve">  自觉加强党风廉政建设，严格按照中央八项规定及其实施细则开展工作，做到不碰红线、守住底线，打造风清气正、和谐融洽的工作环境。</w:t>
      </w:r>
    </w:p>
    <w:p>
      <w:pPr>
        <w:ind w:firstLine="643" w:firstLineChars="200"/>
        <w:jc w:val="center"/>
        <w:rPr>
          <w:rFonts w:ascii="楷体" w:hAnsi="楷体" w:eastAsia="楷体" w:cs="楷体"/>
          <w:b/>
          <w:bCs/>
          <w:sz w:val="32"/>
          <w:szCs w:val="32"/>
        </w:rPr>
      </w:pPr>
      <w:r>
        <w:rPr>
          <w:rFonts w:hint="eastAsia" w:ascii="楷体" w:hAnsi="楷体" w:eastAsia="楷体" w:cs="楷体"/>
          <w:b/>
          <w:bCs/>
          <w:sz w:val="32"/>
          <w:szCs w:val="32"/>
        </w:rPr>
        <w:t>第十章  附则</w:t>
      </w:r>
    </w:p>
    <w:p>
      <w:pPr>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第四十五条</w:t>
      </w:r>
      <w:r>
        <w:rPr>
          <w:rFonts w:hint="eastAsia" w:ascii="仿宋_GB2312" w:hAnsi="仿宋_GB2312" w:eastAsia="仿宋_GB2312" w:cs="仿宋_GB2312"/>
          <w:sz w:val="28"/>
          <w:szCs w:val="28"/>
        </w:rPr>
        <w:t>县退役军人服务中心（站）可结合实际丰富细化相关内容。</w:t>
      </w:r>
    </w:p>
    <w:p>
      <w:pPr>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 xml:space="preserve">第四十六条 </w:t>
      </w:r>
      <w:r>
        <w:rPr>
          <w:rFonts w:hint="eastAsia" w:ascii="仿宋_GB2312" w:hAnsi="仿宋_GB2312" w:eastAsia="仿宋_GB2312" w:cs="仿宋_GB2312"/>
          <w:sz w:val="28"/>
          <w:szCs w:val="28"/>
        </w:rPr>
        <w:t xml:space="preserve"> 本指南由县退役军人事务局负责解释。</w:t>
      </w:r>
    </w:p>
    <w:p>
      <w:pPr>
        <w:ind w:firstLine="560" w:firstLineChars="200"/>
        <w:rPr>
          <w:rFonts w:ascii="仿宋_GB2312" w:hAnsi="仿宋_GB2312" w:eastAsia="仿宋_GB2312" w:cs="仿宋_GB2312"/>
          <w:sz w:val="28"/>
          <w:szCs w:val="28"/>
        </w:rPr>
      </w:pPr>
    </w:p>
    <w:p>
      <w:pPr>
        <w:jc w:val="center"/>
        <w:rPr>
          <w:rFonts w:ascii="方正小标宋简体" w:hAnsi="方正小标宋简体" w:eastAsia="方正小标宋简体" w:cs="方正小标宋简体"/>
          <w:sz w:val="36"/>
          <w:szCs w:val="36"/>
        </w:rPr>
      </w:pPr>
    </w:p>
    <w:p>
      <w:pPr>
        <w:jc w:val="center"/>
        <w:rPr>
          <w:rFonts w:ascii="仿宋" w:hAnsi="仿宋" w:eastAsia="仿宋" w:cs="仿宋"/>
          <w:b/>
          <w:bCs/>
          <w:sz w:val="36"/>
          <w:szCs w:val="36"/>
        </w:rPr>
      </w:pPr>
    </w:p>
    <w:p>
      <w:pPr>
        <w:jc w:val="center"/>
        <w:rPr>
          <w:rFonts w:ascii="仿宋" w:hAnsi="仿宋" w:eastAsia="仿宋" w:cs="仿宋"/>
          <w:b/>
          <w:bCs/>
          <w:sz w:val="36"/>
          <w:szCs w:val="36"/>
        </w:rPr>
      </w:pPr>
    </w:p>
    <w:p>
      <w:pPr>
        <w:jc w:val="center"/>
        <w:rPr>
          <w:rFonts w:ascii="仿宋" w:hAnsi="仿宋" w:eastAsia="仿宋" w:cs="仿宋"/>
          <w:b/>
          <w:bCs/>
          <w:sz w:val="36"/>
          <w:szCs w:val="36"/>
        </w:rPr>
      </w:pPr>
    </w:p>
    <w:p>
      <w:pPr>
        <w:jc w:val="center"/>
        <w:rPr>
          <w:rFonts w:ascii="仿宋" w:hAnsi="仿宋" w:eastAsia="仿宋" w:cs="仿宋"/>
          <w:b/>
          <w:bCs/>
          <w:sz w:val="36"/>
          <w:szCs w:val="36"/>
        </w:rPr>
      </w:pPr>
    </w:p>
    <w:p>
      <w:pPr>
        <w:jc w:val="center"/>
        <w:rPr>
          <w:rFonts w:ascii="仿宋" w:hAnsi="仿宋" w:eastAsia="仿宋" w:cs="仿宋"/>
          <w:b/>
          <w:bCs/>
          <w:sz w:val="36"/>
          <w:szCs w:val="36"/>
        </w:rPr>
      </w:pPr>
    </w:p>
    <w:p>
      <w:pPr>
        <w:jc w:val="center"/>
        <w:rPr>
          <w:rFonts w:ascii="仿宋" w:hAnsi="仿宋" w:eastAsia="仿宋" w:cs="仿宋"/>
          <w:b/>
          <w:bCs/>
          <w:sz w:val="36"/>
          <w:szCs w:val="36"/>
        </w:rPr>
      </w:pPr>
    </w:p>
    <w:p>
      <w:pPr>
        <w:jc w:val="center"/>
        <w:rPr>
          <w:rFonts w:ascii="仿宋" w:hAnsi="仿宋" w:eastAsia="仿宋" w:cs="仿宋"/>
          <w:b/>
          <w:bCs/>
          <w:sz w:val="36"/>
          <w:szCs w:val="36"/>
        </w:rPr>
      </w:pPr>
    </w:p>
    <w:p>
      <w:pPr>
        <w:jc w:val="center"/>
        <w:rPr>
          <w:rFonts w:ascii="仿宋" w:hAnsi="仿宋" w:eastAsia="仿宋" w:cs="仿宋"/>
          <w:b/>
          <w:bCs/>
          <w:sz w:val="36"/>
          <w:szCs w:val="36"/>
        </w:rPr>
      </w:pPr>
    </w:p>
    <w:p>
      <w:pPr>
        <w:jc w:val="center"/>
        <w:rPr>
          <w:rFonts w:ascii="仿宋" w:hAnsi="仿宋" w:eastAsia="仿宋" w:cs="仿宋"/>
          <w:b/>
          <w:bCs/>
          <w:sz w:val="36"/>
          <w:szCs w:val="36"/>
        </w:rPr>
      </w:pPr>
    </w:p>
    <w:p>
      <w:pPr>
        <w:jc w:val="left"/>
        <w:rPr>
          <w:rFonts w:ascii="方正小标宋简体" w:hAnsi="方正小标宋简体" w:eastAsia="方正小标宋简体" w:cs="方正小标宋简体"/>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pict>
        <v:shape id="_x0000_s4097" o:spid="_x0000_s4097"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G4AVXYVAgAAFQQAAA4AAAAAAAAA&#10;AQAgAAAAHwEAAGRycy9lMm9Eb2MueG1sUEsFBgAAAAAGAAYAWQEAAKYFAAAAAA==&#10;">
          <v:path/>
          <v:fill on="f" focussize="0,0"/>
          <v:stroke on="f" weight="0.5pt" joinstyle="miter"/>
          <v:imagedata o:title=""/>
          <o:lock v:ext="edit"/>
          <v:textbox inset="0mm,0mm,0mm,0mm" style="mso-fit-shape-to-text:t;">
            <w:txbxContent>
              <w:p>
                <w:pPr>
                  <w:pStyle w:val="4"/>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A6F7B7E"/>
    <w:multiLevelType w:val="singleLevel"/>
    <w:tmpl w:val="DA6F7B7E"/>
    <w:lvl w:ilvl="0" w:tentative="0">
      <w:start w:val="1"/>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val="bestFit" w:percent="17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6122263D"/>
    <w:rsid w:val="00014E16"/>
    <w:rsid w:val="00073616"/>
    <w:rsid w:val="000A3D10"/>
    <w:rsid w:val="001520D8"/>
    <w:rsid w:val="00155FCB"/>
    <w:rsid w:val="00193CEF"/>
    <w:rsid w:val="001A24E5"/>
    <w:rsid w:val="001C6BA3"/>
    <w:rsid w:val="002134B8"/>
    <w:rsid w:val="00222915"/>
    <w:rsid w:val="0029598A"/>
    <w:rsid w:val="002A407B"/>
    <w:rsid w:val="002D0A78"/>
    <w:rsid w:val="002D3765"/>
    <w:rsid w:val="002E796D"/>
    <w:rsid w:val="002F4CAB"/>
    <w:rsid w:val="003038BE"/>
    <w:rsid w:val="003042B6"/>
    <w:rsid w:val="003070D1"/>
    <w:rsid w:val="00343ED7"/>
    <w:rsid w:val="0039418C"/>
    <w:rsid w:val="003A06A0"/>
    <w:rsid w:val="003C4DD2"/>
    <w:rsid w:val="0045117E"/>
    <w:rsid w:val="00457D95"/>
    <w:rsid w:val="004841D9"/>
    <w:rsid w:val="004C7558"/>
    <w:rsid w:val="004F00BA"/>
    <w:rsid w:val="00512450"/>
    <w:rsid w:val="00546F05"/>
    <w:rsid w:val="00587255"/>
    <w:rsid w:val="005A39E1"/>
    <w:rsid w:val="005F1264"/>
    <w:rsid w:val="006160F7"/>
    <w:rsid w:val="00676E5E"/>
    <w:rsid w:val="00677059"/>
    <w:rsid w:val="00692D3D"/>
    <w:rsid w:val="006A4A33"/>
    <w:rsid w:val="006E1E38"/>
    <w:rsid w:val="007552CE"/>
    <w:rsid w:val="007637CD"/>
    <w:rsid w:val="0076540F"/>
    <w:rsid w:val="00774C4C"/>
    <w:rsid w:val="007D2F33"/>
    <w:rsid w:val="007F32D6"/>
    <w:rsid w:val="007F6DD1"/>
    <w:rsid w:val="00842A5B"/>
    <w:rsid w:val="008552CF"/>
    <w:rsid w:val="00857F5E"/>
    <w:rsid w:val="0086168E"/>
    <w:rsid w:val="00864D42"/>
    <w:rsid w:val="0088060A"/>
    <w:rsid w:val="008879F8"/>
    <w:rsid w:val="008B23A8"/>
    <w:rsid w:val="008E7A16"/>
    <w:rsid w:val="008F2417"/>
    <w:rsid w:val="00997674"/>
    <w:rsid w:val="009A425F"/>
    <w:rsid w:val="009C08D7"/>
    <w:rsid w:val="009F6EBF"/>
    <w:rsid w:val="009F791D"/>
    <w:rsid w:val="00A00C32"/>
    <w:rsid w:val="00A20FE6"/>
    <w:rsid w:val="00A33860"/>
    <w:rsid w:val="00A81D4A"/>
    <w:rsid w:val="00A86798"/>
    <w:rsid w:val="00B013AB"/>
    <w:rsid w:val="00B54311"/>
    <w:rsid w:val="00BA5E04"/>
    <w:rsid w:val="00BD1492"/>
    <w:rsid w:val="00BD5182"/>
    <w:rsid w:val="00BE7F61"/>
    <w:rsid w:val="00BF595F"/>
    <w:rsid w:val="00C233A5"/>
    <w:rsid w:val="00C2550D"/>
    <w:rsid w:val="00D44267"/>
    <w:rsid w:val="00D9209E"/>
    <w:rsid w:val="00DD796A"/>
    <w:rsid w:val="00E00F3E"/>
    <w:rsid w:val="00E0421B"/>
    <w:rsid w:val="00E21457"/>
    <w:rsid w:val="00EC4660"/>
    <w:rsid w:val="00EF1ED1"/>
    <w:rsid w:val="00F86F51"/>
    <w:rsid w:val="00FA1FF6"/>
    <w:rsid w:val="017A564C"/>
    <w:rsid w:val="02FB09E0"/>
    <w:rsid w:val="036E0097"/>
    <w:rsid w:val="03E75893"/>
    <w:rsid w:val="07D33E5F"/>
    <w:rsid w:val="0A9E3B77"/>
    <w:rsid w:val="0C9809CB"/>
    <w:rsid w:val="105845AA"/>
    <w:rsid w:val="11DE3FDB"/>
    <w:rsid w:val="12EC5303"/>
    <w:rsid w:val="18743679"/>
    <w:rsid w:val="18AA54C9"/>
    <w:rsid w:val="1B36546D"/>
    <w:rsid w:val="1E212E2F"/>
    <w:rsid w:val="22C642E3"/>
    <w:rsid w:val="24AB7DAC"/>
    <w:rsid w:val="24C725A2"/>
    <w:rsid w:val="24EE4DD6"/>
    <w:rsid w:val="250C4B48"/>
    <w:rsid w:val="25961AAA"/>
    <w:rsid w:val="270820AF"/>
    <w:rsid w:val="2723290F"/>
    <w:rsid w:val="28F90A6A"/>
    <w:rsid w:val="29571229"/>
    <w:rsid w:val="2AB64C18"/>
    <w:rsid w:val="2F6D7725"/>
    <w:rsid w:val="30AE3964"/>
    <w:rsid w:val="321F35CE"/>
    <w:rsid w:val="329449AD"/>
    <w:rsid w:val="34465FB9"/>
    <w:rsid w:val="35D64DEF"/>
    <w:rsid w:val="35E528A0"/>
    <w:rsid w:val="379E06C1"/>
    <w:rsid w:val="37DE23AA"/>
    <w:rsid w:val="403017F2"/>
    <w:rsid w:val="43CB5CDB"/>
    <w:rsid w:val="44261E09"/>
    <w:rsid w:val="447E3703"/>
    <w:rsid w:val="455E3AA0"/>
    <w:rsid w:val="46541D94"/>
    <w:rsid w:val="47305792"/>
    <w:rsid w:val="4CEC03CA"/>
    <w:rsid w:val="50EE358C"/>
    <w:rsid w:val="53E46F1A"/>
    <w:rsid w:val="55EB2973"/>
    <w:rsid w:val="564F341E"/>
    <w:rsid w:val="58D27DF1"/>
    <w:rsid w:val="5AB42B43"/>
    <w:rsid w:val="5D903949"/>
    <w:rsid w:val="60717DD3"/>
    <w:rsid w:val="6122263D"/>
    <w:rsid w:val="63966659"/>
    <w:rsid w:val="63F51E9B"/>
    <w:rsid w:val="64974ADA"/>
    <w:rsid w:val="6AEB069B"/>
    <w:rsid w:val="6F923592"/>
    <w:rsid w:val="7D0169A1"/>
    <w:rsid w:val="7E56786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3"/>
    <w:qFormat/>
    <w:uiPriority w:val="0"/>
    <w:pPr>
      <w:jc w:val="left"/>
    </w:pPr>
  </w:style>
  <w:style w:type="paragraph" w:styleId="3">
    <w:name w:val="Balloon Text"/>
    <w:basedOn w:val="1"/>
    <w:link w:val="15"/>
    <w:qFormat/>
    <w:uiPriority w:val="0"/>
    <w:rPr>
      <w:sz w:val="18"/>
      <w:szCs w:val="18"/>
    </w:rPr>
  </w:style>
  <w:style w:type="paragraph" w:styleId="4">
    <w:name w:val="footer"/>
    <w:basedOn w:val="1"/>
    <w:link w:val="12"/>
    <w:qFormat/>
    <w:uiPriority w:val="0"/>
    <w:pPr>
      <w:tabs>
        <w:tab w:val="center" w:pos="4153"/>
        <w:tab w:val="right" w:pos="8306"/>
      </w:tabs>
      <w:snapToGrid w:val="0"/>
      <w:jc w:val="left"/>
    </w:pPr>
    <w:rPr>
      <w:sz w:val="18"/>
      <w:szCs w:val="18"/>
    </w:rPr>
  </w:style>
  <w:style w:type="paragraph" w:styleId="5">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4"/>
    <w:qFormat/>
    <w:uiPriority w:val="0"/>
    <w:rPr>
      <w:b/>
      <w:bCs/>
    </w:rPr>
  </w:style>
  <w:style w:type="character" w:styleId="9">
    <w:name w:val="annotation reference"/>
    <w:basedOn w:val="8"/>
    <w:qFormat/>
    <w:uiPriority w:val="0"/>
    <w:rPr>
      <w:sz w:val="21"/>
      <w:szCs w:val="21"/>
    </w:rPr>
  </w:style>
  <w:style w:type="paragraph" w:styleId="10">
    <w:name w:val="List Paragraph"/>
    <w:basedOn w:val="1"/>
    <w:qFormat/>
    <w:uiPriority w:val="99"/>
    <w:pPr>
      <w:ind w:firstLine="420" w:firstLineChars="200"/>
    </w:pPr>
  </w:style>
  <w:style w:type="character" w:customStyle="1" w:styleId="11">
    <w:name w:val="页眉 Char"/>
    <w:basedOn w:val="8"/>
    <w:link w:val="5"/>
    <w:qFormat/>
    <w:uiPriority w:val="0"/>
    <w:rPr>
      <w:kern w:val="2"/>
      <w:sz w:val="18"/>
      <w:szCs w:val="18"/>
    </w:rPr>
  </w:style>
  <w:style w:type="character" w:customStyle="1" w:styleId="12">
    <w:name w:val="页脚 Char"/>
    <w:basedOn w:val="8"/>
    <w:link w:val="4"/>
    <w:qFormat/>
    <w:uiPriority w:val="0"/>
    <w:rPr>
      <w:kern w:val="2"/>
      <w:sz w:val="18"/>
      <w:szCs w:val="18"/>
    </w:rPr>
  </w:style>
  <w:style w:type="character" w:customStyle="1" w:styleId="13">
    <w:name w:val="批注文字 Char"/>
    <w:basedOn w:val="8"/>
    <w:link w:val="2"/>
    <w:qFormat/>
    <w:uiPriority w:val="0"/>
    <w:rPr>
      <w:kern w:val="2"/>
      <w:sz w:val="21"/>
      <w:szCs w:val="24"/>
    </w:rPr>
  </w:style>
  <w:style w:type="character" w:customStyle="1" w:styleId="14">
    <w:name w:val="批注主题 Char"/>
    <w:basedOn w:val="13"/>
    <w:link w:val="6"/>
    <w:qFormat/>
    <w:uiPriority w:val="0"/>
    <w:rPr>
      <w:b/>
      <w:bCs/>
      <w:kern w:val="2"/>
      <w:sz w:val="21"/>
      <w:szCs w:val="24"/>
    </w:rPr>
  </w:style>
  <w:style w:type="character" w:customStyle="1" w:styleId="15">
    <w:name w:val="批注框文本 Char"/>
    <w:basedOn w:val="8"/>
    <w:link w:val="3"/>
    <w:qFormat/>
    <w:uiPriority w:val="0"/>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591</Words>
  <Characters>3371</Characters>
  <Lines>28</Lines>
  <Paragraphs>7</Paragraphs>
  <TotalTime>291</TotalTime>
  <ScaleCrop>false</ScaleCrop>
  <LinksUpToDate>false</LinksUpToDate>
  <CharactersWithSpaces>3955</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2020-09-07T02:09:00Z</dcterms:created>
  <dc:creator>Administrator</dc:creator>
  <cp:lastModifiedBy>简单</cp:lastModifiedBy>
  <cp:lastPrinted>2020-10-16T01:41:00Z</cp:lastPrinted>
  <dcterms:modified xsi:type="dcterms:W3CDTF">2021-08-16T01:59:42Z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366BC0BBE22046C0852678C7AFD295CC</vt:lpwstr>
  </property>
</Properties>
</file>